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BA" w:rsidRPr="0053214D" w:rsidRDefault="009E41BA" w:rsidP="009E41BA">
      <w:pPr>
        <w:spacing w:before="150" w:after="30"/>
        <w:outlineLvl w:val="1"/>
        <w:rPr>
          <w:rFonts w:asciiTheme="minorHAnsi" w:hAnsiTheme="minorHAnsi" w:cs="Arial"/>
          <w:b/>
          <w:bCs/>
          <w:color w:val="006990"/>
          <w:kern w:val="36"/>
          <w:sz w:val="22"/>
          <w:szCs w:val="22"/>
        </w:rPr>
      </w:pPr>
      <w:r w:rsidRPr="0053214D">
        <w:rPr>
          <w:rFonts w:asciiTheme="minorHAnsi" w:hAnsiTheme="minorHAnsi" w:cs="Arial"/>
          <w:b/>
          <w:bCs/>
          <w:color w:val="006990"/>
          <w:kern w:val="36"/>
          <w:sz w:val="22"/>
          <w:szCs w:val="22"/>
        </w:rPr>
        <w:t xml:space="preserve">ISAJE </w:t>
      </w:r>
      <w:r w:rsidR="00B44C54" w:rsidRPr="0053214D">
        <w:rPr>
          <w:rFonts w:asciiTheme="minorHAnsi" w:hAnsiTheme="minorHAnsi" w:cs="Arial"/>
          <w:b/>
          <w:bCs/>
          <w:color w:val="006990"/>
          <w:kern w:val="36"/>
          <w:sz w:val="22"/>
          <w:szCs w:val="22"/>
        </w:rPr>
        <w:t>Model</w:t>
      </w:r>
      <w:r w:rsidRPr="0053214D">
        <w:rPr>
          <w:rFonts w:asciiTheme="minorHAnsi" w:hAnsiTheme="minorHAnsi" w:cs="Arial"/>
          <w:b/>
          <w:bCs/>
          <w:color w:val="006990"/>
          <w:kern w:val="36"/>
          <w:sz w:val="22"/>
          <w:szCs w:val="22"/>
        </w:rPr>
        <w:t xml:space="preserve"> </w:t>
      </w:r>
      <w:r w:rsidR="00E34362">
        <w:rPr>
          <w:rFonts w:asciiTheme="minorHAnsi" w:hAnsiTheme="minorHAnsi" w:cs="Arial"/>
          <w:b/>
          <w:bCs/>
          <w:color w:val="006990"/>
          <w:kern w:val="36"/>
          <w:sz w:val="22"/>
          <w:szCs w:val="22"/>
        </w:rPr>
        <w:t>Conflict of Interest</w:t>
      </w:r>
      <w:bookmarkStart w:id="0" w:name="_GoBack"/>
      <w:bookmarkEnd w:id="0"/>
      <w:r w:rsidR="00B81CBC" w:rsidRPr="0053214D">
        <w:rPr>
          <w:rFonts w:asciiTheme="minorHAnsi" w:hAnsiTheme="minorHAnsi" w:cs="Arial"/>
          <w:b/>
          <w:bCs/>
          <w:color w:val="006990"/>
          <w:kern w:val="36"/>
          <w:sz w:val="22"/>
          <w:szCs w:val="22"/>
        </w:rPr>
        <w:t xml:space="preserve"> Declaration Form</w:t>
      </w:r>
      <w:r w:rsidRPr="0053214D">
        <w:rPr>
          <w:rFonts w:asciiTheme="minorHAnsi" w:hAnsiTheme="minorHAnsi" w:cs="Arial"/>
          <w:b/>
          <w:bCs/>
          <w:color w:val="006990"/>
          <w:kern w:val="36"/>
          <w:sz w:val="22"/>
          <w:szCs w:val="22"/>
        </w:rPr>
        <w:t xml:space="preserve"> </w:t>
      </w:r>
    </w:p>
    <w:p w:rsidR="00A56F97" w:rsidRPr="0053214D" w:rsidRDefault="00A56F97" w:rsidP="009E41BA">
      <w:pPr>
        <w:rPr>
          <w:rStyle w:val="Strong"/>
          <w:rFonts w:asciiTheme="minorHAnsi" w:hAnsiTheme="minorHAnsi" w:cs="Arial"/>
          <w:sz w:val="22"/>
          <w:szCs w:val="22"/>
        </w:rPr>
      </w:pPr>
    </w:p>
    <w:p w:rsidR="009E41BA" w:rsidRPr="0053214D" w:rsidRDefault="009E41BA" w:rsidP="009E41BA">
      <w:pPr>
        <w:rPr>
          <w:rFonts w:asciiTheme="minorHAnsi" w:hAnsiTheme="minorHAnsi" w:cs="Arial"/>
          <w:sz w:val="22"/>
          <w:szCs w:val="22"/>
        </w:rPr>
      </w:pPr>
      <w:r w:rsidRPr="0053214D">
        <w:rPr>
          <w:rStyle w:val="Strong"/>
          <w:rFonts w:asciiTheme="minorHAnsi" w:hAnsiTheme="minorHAnsi" w:cs="Arial"/>
          <w:sz w:val="22"/>
          <w:szCs w:val="22"/>
        </w:rPr>
        <w:t>Guidance for authors</w:t>
      </w:r>
    </w:p>
    <w:p w:rsidR="009E41BA" w:rsidRPr="0053214D" w:rsidRDefault="00B81CBC" w:rsidP="009E41BA">
      <w:pPr>
        <w:pStyle w:val="NormalWeb"/>
        <w:rPr>
          <w:rFonts w:asciiTheme="minorHAnsi" w:hAnsiTheme="minorHAnsi"/>
          <w:sz w:val="22"/>
          <w:szCs w:val="22"/>
        </w:rPr>
      </w:pPr>
      <w:r w:rsidRPr="0053214D">
        <w:rPr>
          <w:rFonts w:asciiTheme="minorHAnsi" w:hAnsiTheme="minorHAnsi"/>
          <w:sz w:val="22"/>
          <w:szCs w:val="22"/>
        </w:rPr>
        <w:t>T</w:t>
      </w:r>
      <w:r w:rsidR="009E41BA" w:rsidRPr="0053214D">
        <w:rPr>
          <w:rFonts w:asciiTheme="minorHAnsi" w:hAnsiTheme="minorHAnsi"/>
          <w:sz w:val="22"/>
          <w:szCs w:val="22"/>
        </w:rPr>
        <w:t xml:space="preserve">he senior or corresponding author </w:t>
      </w:r>
      <w:r w:rsidR="00E97ADC" w:rsidRPr="0053214D">
        <w:rPr>
          <w:rFonts w:asciiTheme="minorHAnsi" w:hAnsiTheme="minorHAnsi"/>
          <w:sz w:val="22"/>
          <w:szCs w:val="22"/>
        </w:rPr>
        <w:t xml:space="preserve">of </w:t>
      </w:r>
      <w:r w:rsidR="00534CA5" w:rsidRPr="0053214D">
        <w:rPr>
          <w:rFonts w:asciiTheme="minorHAnsi" w:hAnsiTheme="minorHAnsi"/>
          <w:sz w:val="22"/>
          <w:szCs w:val="22"/>
        </w:rPr>
        <w:t xml:space="preserve">original </w:t>
      </w:r>
      <w:r w:rsidR="00E97ADC" w:rsidRPr="0053214D">
        <w:rPr>
          <w:rFonts w:asciiTheme="minorHAnsi" w:hAnsiTheme="minorHAnsi"/>
          <w:sz w:val="22"/>
          <w:szCs w:val="22"/>
        </w:rPr>
        <w:t>articles</w:t>
      </w:r>
      <w:r w:rsidR="00534CA5" w:rsidRPr="0053214D">
        <w:rPr>
          <w:rFonts w:asciiTheme="minorHAnsi" w:hAnsiTheme="minorHAnsi"/>
          <w:sz w:val="22"/>
          <w:szCs w:val="22"/>
        </w:rPr>
        <w:t>, review papers, editorials, letters to the editor, commentaries, etc.</w:t>
      </w:r>
      <w:r w:rsidR="00E97ADC" w:rsidRPr="0053214D">
        <w:rPr>
          <w:rFonts w:asciiTheme="minorHAnsi" w:hAnsiTheme="minorHAnsi"/>
          <w:sz w:val="22"/>
          <w:szCs w:val="22"/>
        </w:rPr>
        <w:t xml:space="preserve"> </w:t>
      </w:r>
      <w:r w:rsidR="009E41BA" w:rsidRPr="0053214D">
        <w:rPr>
          <w:rFonts w:asciiTheme="minorHAnsi" w:hAnsiTheme="minorHAnsi"/>
          <w:sz w:val="22"/>
          <w:szCs w:val="22"/>
        </w:rPr>
        <w:t xml:space="preserve">should use this form to declare all funding sources and competing interests for the </w:t>
      </w:r>
      <w:r w:rsidR="00534CA5" w:rsidRPr="0053214D">
        <w:rPr>
          <w:rFonts w:asciiTheme="minorHAnsi" w:hAnsiTheme="minorHAnsi"/>
          <w:sz w:val="22"/>
          <w:szCs w:val="22"/>
        </w:rPr>
        <w:t>manuscript</w:t>
      </w:r>
      <w:r w:rsidR="009E41BA" w:rsidRPr="0053214D">
        <w:rPr>
          <w:rFonts w:asciiTheme="minorHAnsi" w:hAnsiTheme="minorHAnsi"/>
          <w:sz w:val="22"/>
          <w:szCs w:val="22"/>
        </w:rPr>
        <w:t xml:space="preserve"> being submitted for editorial review.  ALL authors are requested to disclose to the corresponding author any actual or potential conflict of interest including any financial, personal or other relationships with other people or organizations within three (3) years of beginning the work submitted </w:t>
      </w:r>
      <w:r w:rsidRPr="0053214D">
        <w:rPr>
          <w:rFonts w:asciiTheme="minorHAnsi" w:hAnsiTheme="minorHAnsi"/>
          <w:sz w:val="22"/>
          <w:szCs w:val="22"/>
        </w:rPr>
        <w:t xml:space="preserve">(e.g., research project, review paper, etc.) </w:t>
      </w:r>
      <w:r w:rsidR="009E41BA" w:rsidRPr="0053214D">
        <w:rPr>
          <w:rFonts w:asciiTheme="minorHAnsi" w:hAnsiTheme="minorHAnsi"/>
          <w:sz w:val="22"/>
          <w:szCs w:val="22"/>
        </w:rPr>
        <w:t xml:space="preserve">that could inappropriately influence, or be perceived to influence, their work. Authors should use the following questions to </w:t>
      </w:r>
      <w:r w:rsidRPr="0053214D">
        <w:rPr>
          <w:rFonts w:asciiTheme="minorHAnsi" w:hAnsiTheme="minorHAnsi"/>
          <w:sz w:val="22"/>
          <w:szCs w:val="22"/>
        </w:rPr>
        <w:t xml:space="preserve">declare funding sources and to </w:t>
      </w:r>
      <w:r w:rsidR="009E41BA" w:rsidRPr="0053214D">
        <w:rPr>
          <w:rFonts w:asciiTheme="minorHAnsi" w:hAnsiTheme="minorHAnsi"/>
          <w:sz w:val="22"/>
          <w:szCs w:val="22"/>
        </w:rPr>
        <w:t>decide whether they have any competing interests:</w:t>
      </w:r>
    </w:p>
    <w:p w:rsidR="00534CA5" w:rsidRPr="0053214D" w:rsidRDefault="00534CA5" w:rsidP="009E41BA">
      <w:pPr>
        <w:pStyle w:val="NormalWeb"/>
        <w:spacing w:after="0" w:afterAutospacing="0"/>
        <w:rPr>
          <w:rFonts w:asciiTheme="minorHAnsi" w:hAnsiTheme="minorHAnsi"/>
          <w:sz w:val="22"/>
          <w:szCs w:val="22"/>
          <w:u w:val="single"/>
        </w:rPr>
      </w:pPr>
      <w:r w:rsidRPr="0053214D">
        <w:rPr>
          <w:rFonts w:asciiTheme="minorHAnsi" w:hAnsiTheme="minorHAnsi"/>
          <w:sz w:val="22"/>
          <w:szCs w:val="22"/>
        </w:rPr>
        <w:t xml:space="preserve">1. </w:t>
      </w:r>
      <w:r w:rsidRPr="0053214D">
        <w:rPr>
          <w:rFonts w:asciiTheme="minorHAnsi" w:hAnsiTheme="minorHAnsi"/>
          <w:sz w:val="22"/>
          <w:szCs w:val="22"/>
          <w:u w:val="single"/>
        </w:rPr>
        <w:t>Funding sources</w:t>
      </w:r>
    </w:p>
    <w:p w:rsidR="005017EE" w:rsidRPr="0053214D" w:rsidRDefault="005017EE" w:rsidP="009E41BA">
      <w:pPr>
        <w:pStyle w:val="NormalWeb"/>
        <w:spacing w:after="0" w:afterAutospacing="0"/>
        <w:rPr>
          <w:rFonts w:asciiTheme="minorHAnsi" w:hAnsiTheme="minorHAnsi"/>
          <w:sz w:val="22"/>
          <w:szCs w:val="22"/>
        </w:rPr>
      </w:pPr>
    </w:p>
    <w:p w:rsidR="005017EE" w:rsidRPr="0053214D" w:rsidRDefault="009E41BA" w:rsidP="009E41BA">
      <w:pPr>
        <w:pStyle w:val="NormalWeb"/>
        <w:spacing w:after="0" w:afterAutospacing="0"/>
        <w:rPr>
          <w:rFonts w:asciiTheme="minorHAnsi" w:hAnsiTheme="minorHAnsi"/>
          <w:sz w:val="22"/>
          <w:szCs w:val="22"/>
        </w:rPr>
      </w:pPr>
      <w:r w:rsidRPr="0053214D">
        <w:rPr>
          <w:rFonts w:asciiTheme="minorHAnsi" w:hAnsiTheme="minorHAnsi"/>
          <w:sz w:val="22"/>
          <w:szCs w:val="22"/>
        </w:rPr>
        <w:t>1</w:t>
      </w:r>
      <w:r w:rsidR="00534CA5" w:rsidRPr="0053214D">
        <w:rPr>
          <w:rFonts w:asciiTheme="minorHAnsi" w:hAnsiTheme="minorHAnsi"/>
          <w:sz w:val="22"/>
          <w:szCs w:val="22"/>
        </w:rPr>
        <w:t>.1</w:t>
      </w:r>
      <w:r w:rsidRPr="0053214D">
        <w:rPr>
          <w:rFonts w:asciiTheme="minorHAnsi" w:hAnsiTheme="minorHAnsi"/>
          <w:sz w:val="22"/>
          <w:szCs w:val="22"/>
        </w:rPr>
        <w:t xml:space="preserve">. </w:t>
      </w:r>
      <w:r w:rsidR="00A56F97" w:rsidRPr="0053214D">
        <w:rPr>
          <w:rFonts w:asciiTheme="minorHAnsi" w:hAnsiTheme="minorHAnsi"/>
          <w:sz w:val="22"/>
          <w:szCs w:val="22"/>
          <w:u w:val="single"/>
        </w:rPr>
        <w:t>F</w:t>
      </w:r>
      <w:r w:rsidRPr="0053214D">
        <w:rPr>
          <w:rFonts w:asciiTheme="minorHAnsi" w:hAnsiTheme="minorHAnsi"/>
          <w:sz w:val="22"/>
          <w:szCs w:val="22"/>
          <w:u w:val="single"/>
        </w:rPr>
        <w:t>unding source</w:t>
      </w:r>
      <w:r w:rsidR="00534CA5" w:rsidRPr="0053214D">
        <w:rPr>
          <w:rFonts w:asciiTheme="minorHAnsi" w:hAnsiTheme="minorHAnsi"/>
          <w:sz w:val="22"/>
          <w:szCs w:val="22"/>
          <w:u w:val="single"/>
        </w:rPr>
        <w:t>s for the work</w:t>
      </w:r>
    </w:p>
    <w:p w:rsidR="00A56F97" w:rsidRPr="0053214D" w:rsidRDefault="009E41BA" w:rsidP="009E41BA">
      <w:pPr>
        <w:pStyle w:val="NormalWeb"/>
        <w:spacing w:after="0" w:afterAutospacing="0"/>
        <w:rPr>
          <w:rFonts w:asciiTheme="minorHAnsi" w:hAnsiTheme="minorHAnsi"/>
          <w:sz w:val="22"/>
          <w:szCs w:val="22"/>
        </w:rPr>
      </w:pPr>
      <w:r w:rsidRPr="0053214D">
        <w:rPr>
          <w:rFonts w:asciiTheme="minorHAnsi" w:hAnsiTheme="minorHAnsi"/>
          <w:sz w:val="22"/>
          <w:szCs w:val="22"/>
        </w:rPr>
        <w:t xml:space="preserve"> </w:t>
      </w:r>
      <w:r w:rsidR="00A56F97" w:rsidRPr="0053214D">
        <w:rPr>
          <w:rFonts w:asciiTheme="minorHAnsi" w:hAnsiTheme="minorHAnsi"/>
          <w:sz w:val="22"/>
          <w:szCs w:val="22"/>
        </w:rPr>
        <w:t xml:space="preserve">List all funding sources for the work. </w:t>
      </w:r>
      <w:r w:rsidRPr="0053214D">
        <w:rPr>
          <w:rFonts w:asciiTheme="minorHAnsi" w:hAnsiTheme="minorHAnsi"/>
          <w:sz w:val="22"/>
          <w:szCs w:val="22"/>
        </w:rPr>
        <w:t xml:space="preserve"> If the present work was supported directly or indirectly by the alcohol, gambling, tobacco or pharmaceutical industries, </w:t>
      </w:r>
      <w:r w:rsidR="00B81CBC" w:rsidRPr="0053214D">
        <w:rPr>
          <w:rFonts w:asciiTheme="minorHAnsi" w:hAnsiTheme="minorHAnsi"/>
          <w:sz w:val="22"/>
          <w:szCs w:val="22"/>
        </w:rPr>
        <w:t xml:space="preserve">or by third-party organizations funded by these industries, </w:t>
      </w:r>
      <w:r w:rsidRPr="0053214D">
        <w:rPr>
          <w:rFonts w:asciiTheme="minorHAnsi" w:hAnsiTheme="minorHAnsi"/>
          <w:sz w:val="22"/>
          <w:szCs w:val="22"/>
        </w:rPr>
        <w:t xml:space="preserve">please </w:t>
      </w:r>
      <w:r w:rsidR="007D3325" w:rsidRPr="0053214D">
        <w:rPr>
          <w:rFonts w:asciiTheme="minorHAnsi" w:hAnsiTheme="minorHAnsi"/>
          <w:sz w:val="22"/>
          <w:szCs w:val="22"/>
        </w:rPr>
        <w:t>give</w:t>
      </w:r>
      <w:r w:rsidRPr="0053214D">
        <w:rPr>
          <w:rFonts w:asciiTheme="minorHAnsi" w:hAnsiTheme="minorHAnsi"/>
          <w:sz w:val="22"/>
          <w:szCs w:val="22"/>
        </w:rPr>
        <w:t xml:space="preserve"> both the name of the organization (e.g., the International Center for Alcohol Policies) and</w:t>
      </w:r>
      <w:r w:rsidR="007D3325" w:rsidRPr="0053214D">
        <w:rPr>
          <w:rFonts w:asciiTheme="minorHAnsi" w:hAnsiTheme="minorHAnsi"/>
          <w:sz w:val="22"/>
          <w:szCs w:val="22"/>
        </w:rPr>
        <w:t xml:space="preserve"> describe</w:t>
      </w:r>
      <w:r w:rsidRPr="0053214D">
        <w:rPr>
          <w:rFonts w:asciiTheme="minorHAnsi" w:hAnsiTheme="minorHAnsi"/>
          <w:sz w:val="22"/>
          <w:szCs w:val="22"/>
        </w:rPr>
        <w:t xml:space="preserve"> its connection with the industry if that connection would not be apparent to the reader of your article.  Please </w:t>
      </w:r>
      <w:r w:rsidR="00A56F97" w:rsidRPr="0053214D">
        <w:rPr>
          <w:rFonts w:asciiTheme="minorHAnsi" w:hAnsiTheme="minorHAnsi"/>
          <w:sz w:val="22"/>
          <w:szCs w:val="22"/>
        </w:rPr>
        <w:t xml:space="preserve">see list of organizations </w:t>
      </w:r>
      <w:r w:rsidR="0053214D" w:rsidRPr="0053214D">
        <w:rPr>
          <w:rFonts w:asciiTheme="minorHAnsi" w:hAnsiTheme="minorHAnsi"/>
          <w:sz w:val="22"/>
          <w:szCs w:val="22"/>
        </w:rPr>
        <w:t>in Appendix A</w:t>
      </w:r>
      <w:r w:rsidR="00A56F97" w:rsidRPr="0053214D">
        <w:rPr>
          <w:rFonts w:asciiTheme="minorHAnsi" w:hAnsiTheme="minorHAnsi"/>
          <w:sz w:val="22"/>
          <w:szCs w:val="22"/>
        </w:rPr>
        <w:t xml:space="preserve"> </w:t>
      </w:r>
      <w:r w:rsidRPr="0053214D">
        <w:rPr>
          <w:rFonts w:asciiTheme="minorHAnsi" w:hAnsiTheme="minorHAnsi"/>
          <w:sz w:val="22"/>
          <w:szCs w:val="22"/>
        </w:rPr>
        <w:t xml:space="preserve">for examples.  Also declare </w:t>
      </w:r>
      <w:r w:rsidR="005E085E" w:rsidRPr="0053214D">
        <w:rPr>
          <w:rFonts w:asciiTheme="minorHAnsi" w:hAnsiTheme="minorHAnsi"/>
          <w:sz w:val="22"/>
          <w:szCs w:val="22"/>
        </w:rPr>
        <w:t xml:space="preserve">whether some or all of the financial support came from governmental or other public sources </w:t>
      </w:r>
      <w:r w:rsidR="006A54FA" w:rsidRPr="0053214D">
        <w:rPr>
          <w:rFonts w:asciiTheme="minorHAnsi" w:hAnsiTheme="minorHAnsi"/>
          <w:sz w:val="22"/>
          <w:szCs w:val="22"/>
        </w:rPr>
        <w:t xml:space="preserve">even </w:t>
      </w:r>
      <w:r w:rsidR="005E085E" w:rsidRPr="0053214D">
        <w:rPr>
          <w:rFonts w:asciiTheme="minorHAnsi" w:hAnsiTheme="minorHAnsi"/>
          <w:sz w:val="22"/>
          <w:szCs w:val="22"/>
        </w:rPr>
        <w:t>if the work has been performed as part of your salaried responsibilities.</w:t>
      </w:r>
      <w:r w:rsidR="005017EE" w:rsidRPr="0053214D">
        <w:rPr>
          <w:rFonts w:asciiTheme="minorHAnsi" w:hAnsiTheme="minorHAnsi"/>
          <w:sz w:val="22"/>
          <w:szCs w:val="22"/>
        </w:rPr>
        <w:t xml:space="preserve">  </w:t>
      </w:r>
      <w:r w:rsidR="00A56F97" w:rsidRPr="0053214D">
        <w:rPr>
          <w:rFonts w:asciiTheme="minorHAnsi" w:hAnsiTheme="minorHAnsi"/>
          <w:sz w:val="22"/>
          <w:szCs w:val="22"/>
        </w:rPr>
        <w:t>If none declare “None”</w:t>
      </w:r>
      <w:r w:rsidR="005017EE" w:rsidRPr="0053214D">
        <w:rPr>
          <w:rFonts w:asciiTheme="minorHAnsi" w:hAnsiTheme="minorHAnsi"/>
          <w:sz w:val="22"/>
          <w:szCs w:val="22"/>
        </w:rPr>
        <w:t xml:space="preserve">; </w:t>
      </w:r>
      <w:proofErr w:type="spellStart"/>
      <w:r w:rsidR="005017EE" w:rsidRPr="0053214D">
        <w:rPr>
          <w:rFonts w:asciiTheme="minorHAnsi" w:hAnsiTheme="minorHAnsi"/>
          <w:sz w:val="22"/>
          <w:szCs w:val="22"/>
        </w:rPr>
        <w:t>i</w:t>
      </w:r>
      <w:proofErr w:type="spellEnd"/>
      <w:r w:rsidR="00702353" w:rsidRPr="0053214D">
        <w:rPr>
          <w:rFonts w:asciiTheme="minorHAnsi" w:hAnsiTheme="minorHAnsi"/>
          <w:sz w:val="22"/>
          <w:szCs w:val="22"/>
          <w:lang w:val="en-AU"/>
        </w:rPr>
        <w:t>f yes, please describe organization and type of financial a</w:t>
      </w:r>
      <w:r w:rsidR="005017EE" w:rsidRPr="0053214D">
        <w:rPr>
          <w:rFonts w:asciiTheme="minorHAnsi" w:hAnsiTheme="minorHAnsi"/>
          <w:sz w:val="22"/>
          <w:szCs w:val="22"/>
          <w:lang w:val="en-AU"/>
        </w:rPr>
        <w:t>ward.</w:t>
      </w:r>
      <w:r w:rsidR="00702353" w:rsidRPr="0053214D">
        <w:rPr>
          <w:rFonts w:asciiTheme="minorHAnsi" w:hAnsiTheme="minorHAnsi"/>
          <w:sz w:val="22"/>
          <w:szCs w:val="22"/>
          <w:lang w:val="en-AU"/>
        </w:rPr>
        <w:t xml:space="preserve"> </w:t>
      </w:r>
    </w:p>
    <w:p w:rsidR="005017EE" w:rsidRPr="0053214D" w:rsidRDefault="005017EE" w:rsidP="009E41BA">
      <w:pPr>
        <w:pStyle w:val="NormalWeb"/>
        <w:spacing w:after="0" w:afterAutospacing="0"/>
        <w:rPr>
          <w:rFonts w:asciiTheme="minorHAnsi" w:hAnsiTheme="minorHAnsi"/>
          <w:sz w:val="22"/>
          <w:szCs w:val="22"/>
        </w:rPr>
      </w:pPr>
    </w:p>
    <w:tbl>
      <w:tblPr>
        <w:tblStyle w:val="TableGrid"/>
        <w:tblW w:w="0" w:type="auto"/>
        <w:tblLook w:val="04A0" w:firstRow="1" w:lastRow="0" w:firstColumn="1" w:lastColumn="0" w:noHBand="0" w:noVBand="1"/>
      </w:tblPr>
      <w:tblGrid>
        <w:gridCol w:w="9301"/>
      </w:tblGrid>
      <w:tr w:rsidR="005017EE" w:rsidRPr="0053214D" w:rsidTr="005017EE">
        <w:tc>
          <w:tcPr>
            <w:tcW w:w="9576" w:type="dxa"/>
          </w:tcPr>
          <w:p w:rsidR="005017EE" w:rsidRPr="0053214D" w:rsidRDefault="005017EE" w:rsidP="009E41BA">
            <w:pPr>
              <w:pStyle w:val="NormalWeb"/>
              <w:spacing w:after="0" w:afterAutospacing="0"/>
              <w:rPr>
                <w:rFonts w:asciiTheme="minorHAnsi" w:hAnsiTheme="minorHAnsi"/>
                <w:sz w:val="22"/>
                <w:szCs w:val="22"/>
              </w:rPr>
            </w:pPr>
          </w:p>
          <w:p w:rsidR="005017EE" w:rsidRPr="0053214D" w:rsidRDefault="005017EE" w:rsidP="009E41BA">
            <w:pPr>
              <w:pStyle w:val="NormalWeb"/>
              <w:spacing w:after="0" w:afterAutospacing="0"/>
              <w:rPr>
                <w:rFonts w:asciiTheme="minorHAnsi" w:hAnsiTheme="minorHAnsi"/>
                <w:sz w:val="22"/>
                <w:szCs w:val="22"/>
              </w:rPr>
            </w:pPr>
          </w:p>
          <w:p w:rsidR="005017EE" w:rsidRPr="0053214D" w:rsidRDefault="005017EE" w:rsidP="009E41BA">
            <w:pPr>
              <w:pStyle w:val="NormalWeb"/>
              <w:spacing w:after="0" w:afterAutospacing="0"/>
              <w:rPr>
                <w:rFonts w:asciiTheme="minorHAnsi" w:hAnsiTheme="minorHAnsi"/>
                <w:sz w:val="22"/>
                <w:szCs w:val="22"/>
              </w:rPr>
            </w:pPr>
          </w:p>
          <w:p w:rsidR="005017EE" w:rsidRPr="0053214D" w:rsidRDefault="005017EE" w:rsidP="009E41BA">
            <w:pPr>
              <w:pStyle w:val="NormalWeb"/>
              <w:spacing w:after="0" w:afterAutospacing="0"/>
              <w:rPr>
                <w:rFonts w:asciiTheme="minorHAnsi" w:hAnsiTheme="minorHAnsi"/>
                <w:sz w:val="22"/>
                <w:szCs w:val="22"/>
              </w:rPr>
            </w:pPr>
          </w:p>
          <w:p w:rsidR="005017EE" w:rsidRPr="0053214D" w:rsidRDefault="005017EE" w:rsidP="009E41BA">
            <w:pPr>
              <w:pStyle w:val="NormalWeb"/>
              <w:spacing w:after="0" w:afterAutospacing="0"/>
              <w:rPr>
                <w:rFonts w:asciiTheme="minorHAnsi" w:hAnsiTheme="minorHAnsi"/>
                <w:sz w:val="22"/>
                <w:szCs w:val="22"/>
              </w:rPr>
            </w:pPr>
          </w:p>
          <w:p w:rsidR="005017EE" w:rsidRPr="0053214D" w:rsidRDefault="005017EE" w:rsidP="009E41BA">
            <w:pPr>
              <w:pStyle w:val="NormalWeb"/>
              <w:spacing w:after="0" w:afterAutospacing="0"/>
              <w:rPr>
                <w:rFonts w:asciiTheme="minorHAnsi" w:hAnsiTheme="minorHAnsi"/>
                <w:sz w:val="22"/>
                <w:szCs w:val="22"/>
              </w:rPr>
            </w:pPr>
          </w:p>
          <w:p w:rsidR="005017EE" w:rsidRPr="0053214D" w:rsidRDefault="005017EE" w:rsidP="009E41BA">
            <w:pPr>
              <w:pStyle w:val="NormalWeb"/>
              <w:spacing w:after="0" w:afterAutospacing="0"/>
              <w:rPr>
                <w:rFonts w:asciiTheme="minorHAnsi" w:hAnsiTheme="minorHAnsi"/>
                <w:sz w:val="22"/>
                <w:szCs w:val="22"/>
              </w:rPr>
            </w:pPr>
          </w:p>
        </w:tc>
      </w:tr>
    </w:tbl>
    <w:p w:rsidR="009E41BA" w:rsidRPr="0053214D" w:rsidRDefault="009E41BA" w:rsidP="009E41BA">
      <w:pPr>
        <w:pStyle w:val="NormalWeb"/>
        <w:spacing w:after="0" w:afterAutospacing="0"/>
        <w:rPr>
          <w:rFonts w:asciiTheme="minorHAnsi" w:hAnsiTheme="minorHAnsi"/>
          <w:sz w:val="22"/>
          <w:szCs w:val="22"/>
        </w:rPr>
      </w:pPr>
    </w:p>
    <w:p w:rsidR="005017EE" w:rsidRPr="0053214D" w:rsidRDefault="00534CA5" w:rsidP="00A56F97">
      <w:pPr>
        <w:pStyle w:val="NormalWeb"/>
        <w:spacing w:after="0" w:afterAutospacing="0"/>
        <w:rPr>
          <w:rFonts w:asciiTheme="minorHAnsi" w:hAnsiTheme="minorHAnsi"/>
          <w:sz w:val="22"/>
          <w:szCs w:val="22"/>
        </w:rPr>
      </w:pPr>
      <w:r w:rsidRPr="0053214D">
        <w:rPr>
          <w:rFonts w:asciiTheme="minorHAnsi" w:hAnsiTheme="minorHAnsi"/>
          <w:sz w:val="22"/>
          <w:szCs w:val="22"/>
        </w:rPr>
        <w:t xml:space="preserve">1.2. </w:t>
      </w:r>
      <w:r w:rsidRPr="0053214D">
        <w:rPr>
          <w:rFonts w:asciiTheme="minorHAnsi" w:hAnsiTheme="minorHAnsi"/>
          <w:sz w:val="22"/>
          <w:szCs w:val="22"/>
          <w:u w:val="single"/>
        </w:rPr>
        <w:t>Constraints on publishing</w:t>
      </w:r>
    </w:p>
    <w:p w:rsidR="005017EE" w:rsidRPr="0053214D" w:rsidRDefault="00534CA5" w:rsidP="00A56F97">
      <w:pPr>
        <w:pStyle w:val="NormalWeb"/>
        <w:spacing w:after="0" w:afterAutospacing="0"/>
        <w:rPr>
          <w:rFonts w:asciiTheme="minorHAnsi" w:hAnsiTheme="minorHAnsi"/>
          <w:sz w:val="22"/>
          <w:szCs w:val="22"/>
        </w:rPr>
      </w:pPr>
      <w:r w:rsidRPr="0053214D">
        <w:rPr>
          <w:rFonts w:asciiTheme="minorHAnsi" w:hAnsiTheme="minorHAnsi"/>
          <w:sz w:val="22"/>
          <w:szCs w:val="22"/>
        </w:rPr>
        <w:t>Please declare any contractual constraints on publishing that existed with regard to the research being reported; for example if the contract gave the funder a right of veto</w:t>
      </w:r>
      <w:r w:rsidR="00FF2E8A" w:rsidRPr="0053214D">
        <w:rPr>
          <w:rFonts w:asciiTheme="minorHAnsi" w:hAnsiTheme="minorHAnsi"/>
          <w:sz w:val="22"/>
          <w:szCs w:val="22"/>
        </w:rPr>
        <w:t xml:space="preserve"> regarding the content </w:t>
      </w:r>
      <w:r w:rsidR="00776545" w:rsidRPr="0053214D">
        <w:rPr>
          <w:rFonts w:asciiTheme="minorHAnsi" w:hAnsiTheme="minorHAnsi"/>
          <w:sz w:val="22"/>
          <w:szCs w:val="22"/>
        </w:rPr>
        <w:t xml:space="preserve">of the work </w:t>
      </w:r>
      <w:r w:rsidR="00FF2E8A" w:rsidRPr="0053214D">
        <w:rPr>
          <w:rFonts w:asciiTheme="minorHAnsi" w:hAnsiTheme="minorHAnsi"/>
          <w:sz w:val="22"/>
          <w:szCs w:val="22"/>
        </w:rPr>
        <w:t>or requested a delay of the report</w:t>
      </w:r>
      <w:r w:rsidRPr="0053214D">
        <w:rPr>
          <w:rFonts w:asciiTheme="minorHAnsi" w:hAnsiTheme="minorHAnsi"/>
          <w:sz w:val="22"/>
          <w:szCs w:val="22"/>
        </w:rPr>
        <w:t>.</w:t>
      </w:r>
      <w:r w:rsidR="001C1A3F" w:rsidRPr="0053214D">
        <w:rPr>
          <w:rFonts w:asciiTheme="minorHAnsi" w:hAnsiTheme="minorHAnsi"/>
          <w:sz w:val="22"/>
          <w:szCs w:val="22"/>
        </w:rPr>
        <w:t xml:space="preserve">  If the work was not supported by contract were there </w:t>
      </w:r>
      <w:r w:rsidR="001B2C90" w:rsidRPr="0053214D">
        <w:rPr>
          <w:rFonts w:asciiTheme="minorHAnsi" w:hAnsiTheme="minorHAnsi"/>
          <w:sz w:val="22"/>
          <w:szCs w:val="22"/>
        </w:rPr>
        <w:t xml:space="preserve">any other </w:t>
      </w:r>
      <w:r w:rsidR="001C1A3F" w:rsidRPr="0053214D">
        <w:rPr>
          <w:rFonts w:asciiTheme="minorHAnsi" w:hAnsiTheme="minorHAnsi"/>
          <w:sz w:val="22"/>
          <w:szCs w:val="22"/>
        </w:rPr>
        <w:t>governmental or institutional constraints that affected the authors’ freedom to publish the work?</w:t>
      </w:r>
      <w:r w:rsidR="00A56F97" w:rsidRPr="0053214D">
        <w:rPr>
          <w:rFonts w:asciiTheme="minorHAnsi" w:hAnsiTheme="minorHAnsi"/>
          <w:sz w:val="22"/>
          <w:szCs w:val="22"/>
        </w:rPr>
        <w:t xml:space="preserve"> </w:t>
      </w:r>
    </w:p>
    <w:p w:rsidR="00A56F97" w:rsidRPr="0053214D" w:rsidRDefault="00A56F97" w:rsidP="00A56F97">
      <w:pPr>
        <w:pStyle w:val="NormalWeb"/>
        <w:spacing w:after="0" w:afterAutospacing="0"/>
        <w:rPr>
          <w:rFonts w:asciiTheme="minorHAnsi" w:hAnsiTheme="minorHAnsi"/>
          <w:sz w:val="22"/>
          <w:szCs w:val="22"/>
          <w:lang w:val="en-AU"/>
        </w:rPr>
      </w:pPr>
      <w:r w:rsidRPr="0053214D">
        <w:rPr>
          <w:rFonts w:asciiTheme="minorHAnsi" w:hAnsiTheme="minorHAnsi"/>
          <w:sz w:val="22"/>
          <w:szCs w:val="22"/>
        </w:rPr>
        <w:t>If none declare “None”</w:t>
      </w:r>
      <w:r w:rsidR="005017EE" w:rsidRPr="0053214D">
        <w:rPr>
          <w:rFonts w:asciiTheme="minorHAnsi" w:hAnsiTheme="minorHAnsi"/>
          <w:sz w:val="22"/>
          <w:szCs w:val="22"/>
        </w:rPr>
        <w:t xml:space="preserve">; </w:t>
      </w:r>
      <w:proofErr w:type="spellStart"/>
      <w:r w:rsidR="005017EE" w:rsidRPr="0053214D">
        <w:rPr>
          <w:rFonts w:asciiTheme="minorHAnsi" w:hAnsiTheme="minorHAnsi"/>
          <w:sz w:val="22"/>
          <w:szCs w:val="22"/>
        </w:rPr>
        <w:t>i</w:t>
      </w:r>
      <w:proofErr w:type="spellEnd"/>
      <w:r w:rsidR="00702353" w:rsidRPr="0053214D">
        <w:rPr>
          <w:rFonts w:asciiTheme="minorHAnsi" w:hAnsiTheme="minorHAnsi"/>
          <w:sz w:val="22"/>
          <w:szCs w:val="22"/>
          <w:lang w:val="en-AU"/>
        </w:rPr>
        <w:t>f yes, please describe the constraints</w:t>
      </w:r>
      <w:r w:rsidR="005017EE" w:rsidRPr="0053214D">
        <w:rPr>
          <w:rFonts w:asciiTheme="minorHAnsi" w:hAnsiTheme="minorHAnsi"/>
          <w:sz w:val="22"/>
          <w:szCs w:val="22"/>
          <w:lang w:val="en-AU"/>
        </w:rPr>
        <w:t>.</w:t>
      </w:r>
      <w:r w:rsidR="00702353" w:rsidRPr="0053214D">
        <w:rPr>
          <w:rFonts w:asciiTheme="minorHAnsi" w:hAnsiTheme="minorHAnsi"/>
          <w:sz w:val="22"/>
          <w:szCs w:val="22"/>
          <w:lang w:val="en-AU"/>
        </w:rPr>
        <w:t xml:space="preserve"> </w:t>
      </w:r>
    </w:p>
    <w:p w:rsidR="005017EE" w:rsidRPr="0053214D" w:rsidRDefault="005017EE" w:rsidP="00A56F97">
      <w:pPr>
        <w:pStyle w:val="NormalWeb"/>
        <w:spacing w:after="0" w:afterAutospacing="0"/>
        <w:rPr>
          <w:rFonts w:asciiTheme="minorHAnsi" w:hAnsiTheme="minorHAnsi"/>
          <w:sz w:val="22"/>
          <w:szCs w:val="22"/>
        </w:rPr>
      </w:pPr>
    </w:p>
    <w:tbl>
      <w:tblPr>
        <w:tblStyle w:val="TableGrid"/>
        <w:tblW w:w="0" w:type="auto"/>
        <w:tblLook w:val="04A0" w:firstRow="1" w:lastRow="0" w:firstColumn="1" w:lastColumn="0" w:noHBand="0" w:noVBand="1"/>
      </w:tblPr>
      <w:tblGrid>
        <w:gridCol w:w="9301"/>
      </w:tblGrid>
      <w:tr w:rsidR="005017EE" w:rsidRPr="0053214D" w:rsidTr="005017EE">
        <w:tc>
          <w:tcPr>
            <w:tcW w:w="9576" w:type="dxa"/>
          </w:tcPr>
          <w:p w:rsidR="005017EE" w:rsidRPr="0053214D" w:rsidRDefault="005017EE" w:rsidP="00254983">
            <w:pPr>
              <w:pStyle w:val="NormalWeb"/>
              <w:rPr>
                <w:rFonts w:asciiTheme="minorHAnsi" w:hAnsiTheme="minorHAnsi"/>
                <w:sz w:val="22"/>
                <w:szCs w:val="22"/>
              </w:rPr>
            </w:pPr>
          </w:p>
          <w:p w:rsidR="005017EE" w:rsidRDefault="005017EE" w:rsidP="00254983">
            <w:pPr>
              <w:pStyle w:val="NormalWeb"/>
              <w:rPr>
                <w:rFonts w:asciiTheme="minorHAnsi" w:hAnsiTheme="minorHAnsi"/>
                <w:sz w:val="22"/>
                <w:szCs w:val="22"/>
              </w:rPr>
            </w:pPr>
          </w:p>
          <w:p w:rsidR="0053214D" w:rsidRPr="0053214D" w:rsidRDefault="0053214D" w:rsidP="00254983">
            <w:pPr>
              <w:pStyle w:val="NormalWeb"/>
              <w:rPr>
                <w:rFonts w:asciiTheme="minorHAnsi" w:hAnsiTheme="minorHAnsi"/>
                <w:sz w:val="22"/>
                <w:szCs w:val="22"/>
              </w:rPr>
            </w:pPr>
          </w:p>
          <w:p w:rsidR="005017EE" w:rsidRPr="0053214D" w:rsidRDefault="005017EE" w:rsidP="00254983">
            <w:pPr>
              <w:pStyle w:val="NormalWeb"/>
              <w:rPr>
                <w:rFonts w:asciiTheme="minorHAnsi" w:hAnsiTheme="minorHAnsi"/>
                <w:sz w:val="22"/>
                <w:szCs w:val="22"/>
              </w:rPr>
            </w:pPr>
          </w:p>
        </w:tc>
      </w:tr>
    </w:tbl>
    <w:p w:rsidR="005017EE" w:rsidRPr="0053214D" w:rsidRDefault="005017EE" w:rsidP="009E41BA">
      <w:pPr>
        <w:pStyle w:val="NormalWeb"/>
        <w:spacing w:after="120" w:afterAutospacing="0"/>
        <w:rPr>
          <w:rFonts w:asciiTheme="minorHAnsi" w:hAnsiTheme="minorHAnsi"/>
          <w:sz w:val="22"/>
          <w:szCs w:val="22"/>
        </w:rPr>
      </w:pPr>
    </w:p>
    <w:p w:rsidR="005017EE" w:rsidRPr="0053214D" w:rsidRDefault="005017EE">
      <w:pPr>
        <w:spacing w:after="200" w:line="276" w:lineRule="auto"/>
        <w:rPr>
          <w:rFonts w:asciiTheme="minorHAnsi" w:hAnsiTheme="minorHAnsi" w:cs="Arial"/>
          <w:sz w:val="22"/>
          <w:szCs w:val="22"/>
          <w:lang w:val="en-US"/>
        </w:rPr>
      </w:pPr>
      <w:r w:rsidRPr="0053214D">
        <w:rPr>
          <w:rFonts w:asciiTheme="minorHAnsi" w:hAnsiTheme="minorHAnsi"/>
          <w:sz w:val="22"/>
          <w:szCs w:val="22"/>
        </w:rPr>
        <w:br w:type="page"/>
      </w:r>
    </w:p>
    <w:p w:rsidR="00982B9B" w:rsidRPr="0053214D" w:rsidRDefault="009E41BA" w:rsidP="005017EE">
      <w:pPr>
        <w:spacing w:after="200" w:line="276" w:lineRule="auto"/>
        <w:rPr>
          <w:rFonts w:asciiTheme="minorHAnsi" w:hAnsiTheme="minorHAnsi" w:cs="Arial"/>
          <w:sz w:val="22"/>
          <w:szCs w:val="22"/>
        </w:rPr>
      </w:pPr>
      <w:r w:rsidRPr="0053214D">
        <w:rPr>
          <w:rFonts w:asciiTheme="minorHAnsi" w:hAnsiTheme="minorHAnsi" w:cs="Arial"/>
          <w:sz w:val="22"/>
          <w:szCs w:val="22"/>
        </w:rPr>
        <w:lastRenderedPageBreak/>
        <w:t xml:space="preserve">2. </w:t>
      </w:r>
      <w:r w:rsidRPr="0053214D">
        <w:rPr>
          <w:rFonts w:asciiTheme="minorHAnsi" w:hAnsiTheme="minorHAnsi" w:cs="Arial"/>
          <w:sz w:val="22"/>
          <w:szCs w:val="22"/>
          <w:u w:val="single"/>
        </w:rPr>
        <w:t>Competing interests</w:t>
      </w:r>
      <w:r w:rsidRPr="0053214D">
        <w:rPr>
          <w:rFonts w:asciiTheme="minorHAnsi" w:hAnsiTheme="minorHAnsi" w:cs="Arial"/>
          <w:sz w:val="22"/>
          <w:szCs w:val="22"/>
        </w:rPr>
        <w:t xml:space="preserve">: </w:t>
      </w:r>
      <w:r w:rsidR="005C316A" w:rsidRPr="0053214D">
        <w:rPr>
          <w:rFonts w:asciiTheme="minorHAnsi" w:hAnsiTheme="minorHAnsi" w:cs="Arial"/>
          <w:sz w:val="22"/>
          <w:szCs w:val="22"/>
          <w:u w:val="single"/>
        </w:rPr>
        <w:t>Financial</w:t>
      </w:r>
      <w:r w:rsidR="005C316A" w:rsidRPr="0053214D">
        <w:rPr>
          <w:rFonts w:asciiTheme="minorHAnsi" w:hAnsiTheme="minorHAnsi" w:cs="Arial"/>
          <w:sz w:val="22"/>
          <w:szCs w:val="22"/>
        </w:rPr>
        <w:t>.</w:t>
      </w:r>
    </w:p>
    <w:p w:rsidR="00A56F97" w:rsidRPr="0053214D" w:rsidRDefault="00982B9B" w:rsidP="00A56F97">
      <w:pPr>
        <w:pStyle w:val="NormalWeb"/>
        <w:spacing w:after="120" w:afterAutospacing="0"/>
        <w:rPr>
          <w:rFonts w:asciiTheme="minorHAnsi" w:hAnsiTheme="minorHAnsi"/>
          <w:sz w:val="22"/>
          <w:szCs w:val="22"/>
        </w:rPr>
      </w:pPr>
      <w:r w:rsidRPr="0053214D">
        <w:rPr>
          <w:rFonts w:asciiTheme="minorHAnsi" w:hAnsiTheme="minorHAnsi"/>
          <w:sz w:val="22"/>
          <w:szCs w:val="22"/>
          <w:lang w:val="en-AU"/>
        </w:rPr>
        <w:t xml:space="preserve">2.1  </w:t>
      </w:r>
      <w:r w:rsidR="009E41BA" w:rsidRPr="0053214D">
        <w:rPr>
          <w:rFonts w:asciiTheme="minorHAnsi" w:hAnsiTheme="minorHAnsi"/>
          <w:sz w:val="22"/>
          <w:szCs w:val="22"/>
        </w:rPr>
        <w:t xml:space="preserve">  Have you in the three years</w:t>
      </w:r>
      <w:r w:rsidR="00776545" w:rsidRPr="0053214D">
        <w:rPr>
          <w:rFonts w:asciiTheme="minorHAnsi" w:hAnsiTheme="minorHAnsi"/>
          <w:sz w:val="22"/>
          <w:szCs w:val="22"/>
        </w:rPr>
        <w:t xml:space="preserve"> prior to the beginning of the work </w:t>
      </w:r>
      <w:r w:rsidR="009E41BA" w:rsidRPr="0053214D">
        <w:rPr>
          <w:rFonts w:asciiTheme="minorHAnsi" w:hAnsiTheme="minorHAnsi"/>
          <w:sz w:val="22"/>
          <w:szCs w:val="22"/>
        </w:rPr>
        <w:t xml:space="preserve">accepted </w:t>
      </w:r>
      <w:r w:rsidR="00FF2E8A" w:rsidRPr="0053214D">
        <w:rPr>
          <w:rFonts w:asciiTheme="minorHAnsi" w:hAnsiTheme="minorHAnsi"/>
          <w:sz w:val="22"/>
          <w:szCs w:val="22"/>
        </w:rPr>
        <w:t xml:space="preserve">financial awards </w:t>
      </w:r>
      <w:r w:rsidR="00A849B0" w:rsidRPr="0053214D">
        <w:rPr>
          <w:rFonts w:asciiTheme="minorHAnsi" w:hAnsiTheme="minorHAnsi"/>
          <w:sz w:val="22"/>
          <w:szCs w:val="22"/>
        </w:rPr>
        <w:t xml:space="preserve"> from an organiz</w:t>
      </w:r>
      <w:r w:rsidR="00A56F97" w:rsidRPr="0053214D">
        <w:rPr>
          <w:rFonts w:asciiTheme="minorHAnsi" w:hAnsiTheme="minorHAnsi"/>
          <w:sz w:val="22"/>
          <w:szCs w:val="22"/>
        </w:rPr>
        <w:t xml:space="preserve">ation (see </w:t>
      </w:r>
      <w:hyperlink r:id="rId6" w:history="1">
        <w:r w:rsidR="00B44C54" w:rsidRPr="0053214D">
          <w:rPr>
            <w:rStyle w:val="Hyperlink"/>
            <w:rFonts w:asciiTheme="minorHAnsi" w:hAnsiTheme="minorHAnsi"/>
            <w:sz w:val="22"/>
            <w:szCs w:val="22"/>
          </w:rPr>
          <w:t>list of organizations at www.isaje.net</w:t>
        </w:r>
      </w:hyperlink>
      <w:r w:rsidR="00B44C54" w:rsidRPr="0053214D">
        <w:rPr>
          <w:rFonts w:asciiTheme="minorHAnsi" w:hAnsiTheme="minorHAnsi"/>
          <w:sz w:val="22"/>
          <w:szCs w:val="22"/>
        </w:rPr>
        <w:t xml:space="preserve"> </w:t>
      </w:r>
      <w:r w:rsidR="00A56F97" w:rsidRPr="0053214D">
        <w:rPr>
          <w:rFonts w:asciiTheme="minorHAnsi" w:hAnsiTheme="minorHAnsi"/>
          <w:sz w:val="22"/>
          <w:szCs w:val="22"/>
          <w:lang w:val="en-AU"/>
        </w:rPr>
        <w:t>for examples</w:t>
      </w:r>
      <w:r w:rsidR="009E41BA" w:rsidRPr="0053214D">
        <w:rPr>
          <w:rFonts w:asciiTheme="minorHAnsi" w:hAnsiTheme="minorHAnsi"/>
          <w:sz w:val="22"/>
          <w:szCs w:val="22"/>
        </w:rPr>
        <w:t xml:space="preserve">) that </w:t>
      </w:r>
      <w:r w:rsidR="00FF2E8A" w:rsidRPr="0053214D">
        <w:rPr>
          <w:rFonts w:asciiTheme="minorHAnsi" w:hAnsiTheme="minorHAnsi"/>
          <w:sz w:val="22"/>
          <w:szCs w:val="22"/>
        </w:rPr>
        <w:t xml:space="preserve">represents an interest which </w:t>
      </w:r>
      <w:r w:rsidR="009E41BA" w:rsidRPr="0053214D">
        <w:rPr>
          <w:rFonts w:asciiTheme="minorHAnsi" w:hAnsiTheme="minorHAnsi"/>
          <w:sz w:val="22"/>
          <w:szCs w:val="22"/>
        </w:rPr>
        <w:t xml:space="preserve">may in any way gain or lose financially </w:t>
      </w:r>
      <w:r w:rsidRPr="0053214D">
        <w:rPr>
          <w:rFonts w:asciiTheme="minorHAnsi" w:hAnsiTheme="minorHAnsi"/>
          <w:sz w:val="22"/>
          <w:szCs w:val="22"/>
          <w:lang w:val="en-AU"/>
        </w:rPr>
        <w:t>from the kinds of research described in your original study or the topic of your review, editorial, or letter?</w:t>
      </w:r>
      <w:r w:rsidR="00A849B0" w:rsidRPr="0053214D">
        <w:rPr>
          <w:rFonts w:asciiTheme="minorHAnsi" w:hAnsiTheme="minorHAnsi"/>
          <w:sz w:val="22"/>
          <w:szCs w:val="22"/>
        </w:rPr>
        <w:t xml:space="preserve">  </w:t>
      </w:r>
      <w:r w:rsidR="00A56F97" w:rsidRPr="0053214D">
        <w:rPr>
          <w:rFonts w:asciiTheme="minorHAnsi" w:hAnsiTheme="minorHAnsi"/>
          <w:sz w:val="22"/>
          <w:szCs w:val="22"/>
        </w:rPr>
        <w:t>Please declare</w:t>
      </w:r>
      <w:r w:rsidR="00A56F97" w:rsidRPr="0053214D">
        <w:rPr>
          <w:rFonts w:asciiTheme="minorHAnsi" w:hAnsiTheme="minorHAnsi"/>
          <w:sz w:val="22"/>
          <w:szCs w:val="22"/>
          <w:lang w:val="en-AU"/>
        </w:rPr>
        <w:t xml:space="preserve"> any </w:t>
      </w:r>
      <w:r w:rsidR="005017EE" w:rsidRPr="0053214D">
        <w:rPr>
          <w:rFonts w:asciiTheme="minorHAnsi" w:hAnsiTheme="minorHAnsi"/>
          <w:sz w:val="22"/>
          <w:szCs w:val="22"/>
          <w:lang w:val="en-AU"/>
        </w:rPr>
        <w:t xml:space="preserve">direct or indirect connections </w:t>
      </w:r>
      <w:r w:rsidR="00A56F97" w:rsidRPr="0053214D">
        <w:rPr>
          <w:rFonts w:asciiTheme="minorHAnsi" w:hAnsiTheme="minorHAnsi"/>
          <w:sz w:val="22"/>
          <w:szCs w:val="22"/>
          <w:lang w:val="en-AU"/>
        </w:rPr>
        <w:t>with</w:t>
      </w:r>
      <w:r w:rsidR="00A56F97" w:rsidRPr="0053214D">
        <w:rPr>
          <w:rFonts w:asciiTheme="minorHAnsi" w:hAnsiTheme="minorHAnsi" w:cs="Times New Roman"/>
          <w:sz w:val="22"/>
          <w:szCs w:val="22"/>
          <w:lang w:val="en-AU"/>
        </w:rPr>
        <w:t xml:space="preserve"> </w:t>
      </w:r>
      <w:r w:rsidR="00A56F97" w:rsidRPr="0053214D">
        <w:rPr>
          <w:rFonts w:asciiTheme="minorHAnsi" w:hAnsiTheme="minorHAnsi"/>
          <w:sz w:val="22"/>
          <w:szCs w:val="22"/>
          <w:lang w:val="en-AU"/>
        </w:rPr>
        <w:t>the alcohol, gambling, tobacco or pharmaceutical industries, or by third-party organizations funded by these industries</w:t>
      </w:r>
      <w:r w:rsidR="001B2C90" w:rsidRPr="0053214D">
        <w:rPr>
          <w:rFonts w:asciiTheme="minorHAnsi" w:hAnsiTheme="minorHAnsi"/>
          <w:sz w:val="22"/>
          <w:szCs w:val="22"/>
          <w:lang w:val="en-AU"/>
        </w:rPr>
        <w:t>, regardless of whether the funds are connected with the present work</w:t>
      </w:r>
      <w:r w:rsidR="00A56F97" w:rsidRPr="0053214D">
        <w:rPr>
          <w:rFonts w:asciiTheme="minorHAnsi" w:hAnsiTheme="minorHAnsi"/>
          <w:sz w:val="22"/>
          <w:szCs w:val="22"/>
          <w:lang w:val="en-AU"/>
        </w:rPr>
        <w:t xml:space="preserve">, </w:t>
      </w:r>
      <w:r w:rsidR="00FF2E8A" w:rsidRPr="0053214D">
        <w:rPr>
          <w:rFonts w:asciiTheme="minorHAnsi" w:hAnsiTheme="minorHAnsi"/>
          <w:sz w:val="22"/>
          <w:szCs w:val="22"/>
        </w:rPr>
        <w:t>Awards that should be declared</w:t>
      </w:r>
      <w:r w:rsidR="00A849B0" w:rsidRPr="0053214D">
        <w:rPr>
          <w:rFonts w:asciiTheme="minorHAnsi" w:hAnsiTheme="minorHAnsi"/>
          <w:sz w:val="22"/>
          <w:szCs w:val="22"/>
        </w:rPr>
        <w:t xml:space="preserve"> include</w:t>
      </w:r>
      <w:r w:rsidR="009E41BA" w:rsidRPr="0053214D">
        <w:rPr>
          <w:rFonts w:asciiTheme="minorHAnsi" w:hAnsiTheme="minorHAnsi"/>
          <w:sz w:val="22"/>
          <w:szCs w:val="22"/>
        </w:rPr>
        <w:t xml:space="preserve">: </w:t>
      </w:r>
      <w:r w:rsidR="001C1A3F" w:rsidRPr="0053214D">
        <w:rPr>
          <w:rFonts w:asciiTheme="minorHAnsi" w:hAnsiTheme="minorHAnsi"/>
          <w:sz w:val="22"/>
          <w:szCs w:val="22"/>
        </w:rPr>
        <w:t xml:space="preserve">reimbursement </w:t>
      </w:r>
      <w:r w:rsidR="009E41BA" w:rsidRPr="0053214D">
        <w:rPr>
          <w:rFonts w:asciiTheme="minorHAnsi" w:hAnsiTheme="minorHAnsi"/>
          <w:sz w:val="22"/>
          <w:szCs w:val="22"/>
        </w:rPr>
        <w:t>for attending a symposium; a fee</w:t>
      </w:r>
      <w:r w:rsidR="00A849B0" w:rsidRPr="0053214D">
        <w:rPr>
          <w:rFonts w:asciiTheme="minorHAnsi" w:hAnsiTheme="minorHAnsi"/>
          <w:sz w:val="22"/>
          <w:szCs w:val="22"/>
        </w:rPr>
        <w:t xml:space="preserve"> for speaking; a fee for organiz</w:t>
      </w:r>
      <w:r w:rsidR="009E41BA" w:rsidRPr="0053214D">
        <w:rPr>
          <w:rFonts w:asciiTheme="minorHAnsi" w:hAnsiTheme="minorHAnsi"/>
          <w:sz w:val="22"/>
          <w:szCs w:val="22"/>
        </w:rPr>
        <w:t>ing education; funds for research (other than those declared above); travel funds to attend a meeting; or fees for consulting</w:t>
      </w:r>
      <w:r w:rsidR="00A849B0" w:rsidRPr="0053214D">
        <w:rPr>
          <w:rFonts w:asciiTheme="minorHAnsi" w:hAnsiTheme="minorHAnsi"/>
          <w:sz w:val="22"/>
          <w:szCs w:val="22"/>
        </w:rPr>
        <w:t>.</w:t>
      </w:r>
      <w:r w:rsidR="001B2C90" w:rsidRPr="0053214D">
        <w:rPr>
          <w:rFonts w:asciiTheme="minorHAnsi" w:hAnsiTheme="minorHAnsi"/>
          <w:sz w:val="22"/>
          <w:szCs w:val="22"/>
        </w:rPr>
        <w:t xml:space="preserve">  </w:t>
      </w:r>
      <w:r w:rsidR="00A56F97" w:rsidRPr="0053214D">
        <w:rPr>
          <w:rFonts w:asciiTheme="minorHAnsi" w:hAnsiTheme="minorHAnsi"/>
          <w:sz w:val="22"/>
          <w:szCs w:val="22"/>
        </w:rPr>
        <w:t>If none declare “None”</w:t>
      </w:r>
      <w:r w:rsidR="005017EE" w:rsidRPr="0053214D">
        <w:rPr>
          <w:rFonts w:asciiTheme="minorHAnsi" w:hAnsiTheme="minorHAnsi"/>
          <w:sz w:val="22"/>
          <w:szCs w:val="22"/>
        </w:rPr>
        <w:t>; i</w:t>
      </w:r>
      <w:r w:rsidR="00A56F97" w:rsidRPr="0053214D">
        <w:rPr>
          <w:rFonts w:asciiTheme="minorHAnsi" w:hAnsiTheme="minorHAnsi"/>
          <w:sz w:val="22"/>
          <w:szCs w:val="22"/>
        </w:rPr>
        <w:t>f yes, p</w:t>
      </w:r>
      <w:r w:rsidR="00A849B0" w:rsidRPr="0053214D">
        <w:rPr>
          <w:rFonts w:asciiTheme="minorHAnsi" w:hAnsiTheme="minorHAnsi"/>
          <w:sz w:val="22"/>
          <w:szCs w:val="22"/>
        </w:rPr>
        <w:t>lease describe organiz</w:t>
      </w:r>
      <w:r w:rsidR="009E41BA" w:rsidRPr="0053214D">
        <w:rPr>
          <w:rFonts w:asciiTheme="minorHAnsi" w:hAnsiTheme="minorHAnsi"/>
          <w:sz w:val="22"/>
          <w:szCs w:val="22"/>
        </w:rPr>
        <w:t xml:space="preserve">ation and </w:t>
      </w:r>
      <w:r w:rsidR="00A56F97" w:rsidRPr="0053214D">
        <w:rPr>
          <w:rFonts w:asciiTheme="minorHAnsi" w:hAnsiTheme="minorHAnsi"/>
          <w:sz w:val="22"/>
          <w:szCs w:val="22"/>
        </w:rPr>
        <w:t xml:space="preserve">type of financial </w:t>
      </w:r>
      <w:r w:rsidR="00702353" w:rsidRPr="0053214D">
        <w:rPr>
          <w:rFonts w:asciiTheme="minorHAnsi" w:hAnsiTheme="minorHAnsi"/>
          <w:sz w:val="22"/>
          <w:szCs w:val="22"/>
        </w:rPr>
        <w:t>a</w:t>
      </w:r>
      <w:r w:rsidR="00FF2E8A" w:rsidRPr="0053214D">
        <w:rPr>
          <w:rFonts w:asciiTheme="minorHAnsi" w:hAnsiTheme="minorHAnsi"/>
          <w:sz w:val="22"/>
          <w:szCs w:val="22"/>
        </w:rPr>
        <w:t>ward</w:t>
      </w:r>
      <w:r w:rsidR="00A56F97" w:rsidRPr="0053214D">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9301"/>
      </w:tblGrid>
      <w:tr w:rsidR="005017EE" w:rsidRPr="0053214D" w:rsidTr="005017EE">
        <w:tc>
          <w:tcPr>
            <w:tcW w:w="9576" w:type="dxa"/>
          </w:tcPr>
          <w:p w:rsidR="005017EE" w:rsidRPr="0053214D" w:rsidRDefault="005017EE" w:rsidP="00702353">
            <w:pPr>
              <w:pStyle w:val="NormalWeb"/>
              <w:spacing w:after="120" w:afterAutospacing="0"/>
              <w:rPr>
                <w:rFonts w:asciiTheme="minorHAnsi" w:hAnsiTheme="minorHAnsi"/>
                <w:sz w:val="22"/>
                <w:szCs w:val="22"/>
              </w:rPr>
            </w:pPr>
          </w:p>
          <w:p w:rsidR="005017EE" w:rsidRPr="0053214D" w:rsidRDefault="005017EE" w:rsidP="00702353">
            <w:pPr>
              <w:pStyle w:val="NormalWeb"/>
              <w:spacing w:after="120" w:afterAutospacing="0"/>
              <w:rPr>
                <w:rFonts w:asciiTheme="minorHAnsi" w:hAnsiTheme="minorHAnsi"/>
                <w:sz w:val="22"/>
                <w:szCs w:val="22"/>
              </w:rPr>
            </w:pPr>
          </w:p>
          <w:p w:rsidR="005017EE" w:rsidRPr="0053214D" w:rsidRDefault="005017EE" w:rsidP="00702353">
            <w:pPr>
              <w:pStyle w:val="NormalWeb"/>
              <w:spacing w:after="120" w:afterAutospacing="0"/>
              <w:rPr>
                <w:rFonts w:asciiTheme="minorHAnsi" w:hAnsiTheme="minorHAnsi"/>
                <w:sz w:val="22"/>
                <w:szCs w:val="22"/>
              </w:rPr>
            </w:pPr>
          </w:p>
          <w:p w:rsidR="005017EE" w:rsidRPr="0053214D" w:rsidRDefault="005017EE" w:rsidP="00702353">
            <w:pPr>
              <w:pStyle w:val="NormalWeb"/>
              <w:spacing w:after="120" w:afterAutospacing="0"/>
              <w:rPr>
                <w:rFonts w:asciiTheme="minorHAnsi" w:hAnsiTheme="minorHAnsi"/>
                <w:sz w:val="22"/>
                <w:szCs w:val="22"/>
              </w:rPr>
            </w:pPr>
          </w:p>
        </w:tc>
      </w:tr>
    </w:tbl>
    <w:p w:rsidR="005017EE" w:rsidRPr="0053214D" w:rsidRDefault="005017EE" w:rsidP="00702353">
      <w:pPr>
        <w:pStyle w:val="NormalWeb"/>
        <w:spacing w:after="120" w:afterAutospacing="0"/>
        <w:rPr>
          <w:rFonts w:asciiTheme="minorHAnsi" w:hAnsiTheme="minorHAnsi"/>
          <w:sz w:val="22"/>
          <w:szCs w:val="22"/>
        </w:rPr>
      </w:pPr>
    </w:p>
    <w:p w:rsidR="001B2C90" w:rsidRPr="0053214D" w:rsidRDefault="005C316A" w:rsidP="00702353">
      <w:pPr>
        <w:pStyle w:val="NormalWeb"/>
        <w:spacing w:after="120" w:afterAutospacing="0"/>
        <w:rPr>
          <w:rFonts w:asciiTheme="minorHAnsi" w:hAnsiTheme="minorHAnsi"/>
          <w:sz w:val="22"/>
          <w:szCs w:val="22"/>
        </w:rPr>
      </w:pPr>
      <w:r w:rsidRPr="0053214D">
        <w:rPr>
          <w:rFonts w:asciiTheme="minorHAnsi" w:hAnsiTheme="minorHAnsi"/>
          <w:sz w:val="22"/>
          <w:szCs w:val="22"/>
        </w:rPr>
        <w:t>2.2</w:t>
      </w:r>
      <w:r w:rsidR="009E41BA" w:rsidRPr="0053214D">
        <w:rPr>
          <w:rFonts w:asciiTheme="minorHAnsi" w:hAnsiTheme="minorHAnsi"/>
          <w:sz w:val="22"/>
          <w:szCs w:val="22"/>
        </w:rPr>
        <w:t>. Have you in the three y</w:t>
      </w:r>
      <w:r w:rsidR="00A849B0" w:rsidRPr="0053214D">
        <w:rPr>
          <w:rFonts w:asciiTheme="minorHAnsi" w:hAnsiTheme="minorHAnsi"/>
          <w:sz w:val="22"/>
          <w:szCs w:val="22"/>
        </w:rPr>
        <w:t xml:space="preserve">ears </w:t>
      </w:r>
      <w:r w:rsidR="00776545" w:rsidRPr="0053214D">
        <w:rPr>
          <w:rFonts w:asciiTheme="minorHAnsi" w:hAnsiTheme="minorHAnsi"/>
          <w:sz w:val="22"/>
          <w:szCs w:val="22"/>
        </w:rPr>
        <w:t xml:space="preserve">prior to the beginning of the work </w:t>
      </w:r>
      <w:r w:rsidR="00A849B0" w:rsidRPr="0053214D">
        <w:rPr>
          <w:rFonts w:asciiTheme="minorHAnsi" w:hAnsiTheme="minorHAnsi"/>
          <w:sz w:val="22"/>
          <w:szCs w:val="22"/>
        </w:rPr>
        <w:t>been employed by an organiz</w:t>
      </w:r>
      <w:r w:rsidR="009E41BA" w:rsidRPr="0053214D">
        <w:rPr>
          <w:rFonts w:asciiTheme="minorHAnsi" w:hAnsiTheme="minorHAnsi"/>
          <w:sz w:val="22"/>
          <w:szCs w:val="22"/>
        </w:rPr>
        <w:t xml:space="preserve">ation that may in any way gain or lose financially from the </w:t>
      </w:r>
      <w:r w:rsidR="00982B9B" w:rsidRPr="0053214D">
        <w:rPr>
          <w:rFonts w:asciiTheme="minorHAnsi" w:hAnsiTheme="minorHAnsi"/>
          <w:sz w:val="22"/>
          <w:szCs w:val="22"/>
        </w:rPr>
        <w:t>kinds of research described in</w:t>
      </w:r>
      <w:r w:rsidR="009E41BA" w:rsidRPr="0053214D">
        <w:rPr>
          <w:rFonts w:asciiTheme="minorHAnsi" w:hAnsiTheme="minorHAnsi"/>
          <w:sz w:val="22"/>
          <w:szCs w:val="22"/>
        </w:rPr>
        <w:t xml:space="preserve"> your study or the </w:t>
      </w:r>
      <w:r w:rsidR="00982B9B" w:rsidRPr="0053214D">
        <w:rPr>
          <w:rFonts w:asciiTheme="minorHAnsi" w:hAnsiTheme="minorHAnsi"/>
          <w:sz w:val="22"/>
          <w:szCs w:val="22"/>
        </w:rPr>
        <w:t>topic</w:t>
      </w:r>
      <w:r w:rsidR="009E41BA" w:rsidRPr="0053214D">
        <w:rPr>
          <w:rFonts w:asciiTheme="minorHAnsi" w:hAnsiTheme="minorHAnsi"/>
          <w:sz w:val="22"/>
          <w:szCs w:val="22"/>
        </w:rPr>
        <w:t xml:space="preserve"> of your review, editorial, or letter?</w:t>
      </w:r>
      <w:r w:rsidR="001C1A3F" w:rsidRPr="0053214D">
        <w:rPr>
          <w:rFonts w:asciiTheme="minorHAnsi" w:hAnsiTheme="minorHAnsi"/>
          <w:sz w:val="22"/>
          <w:szCs w:val="22"/>
        </w:rPr>
        <w:t xml:space="preserve">  </w:t>
      </w:r>
      <w:r w:rsidR="001C1A3F" w:rsidRPr="0053214D">
        <w:rPr>
          <w:rFonts w:asciiTheme="minorHAnsi" w:hAnsiTheme="minorHAnsi"/>
          <w:sz w:val="22"/>
          <w:szCs w:val="22"/>
          <w:lang w:val="en-AU"/>
        </w:rPr>
        <w:t>Do you hold any stocks or shares in an organization that may in any way gain or lose financially from the kinds of research described in your study or the topic of your review, editorial, or letter?  Have you been paid to serve as an expert witness on the subject of your study, review, editorial, or letter?  Have you served as an unpaid expert witness for governmental committees?</w:t>
      </w:r>
      <w:r w:rsidR="00776545" w:rsidRPr="0053214D">
        <w:rPr>
          <w:rFonts w:asciiTheme="minorHAnsi" w:hAnsiTheme="minorHAnsi"/>
          <w:sz w:val="22"/>
          <w:szCs w:val="22"/>
          <w:lang w:val="en-AU"/>
        </w:rPr>
        <w:t xml:space="preserve">  Do you have any other competing financial interests?</w:t>
      </w:r>
      <w:r w:rsidR="00702353" w:rsidRPr="0053214D">
        <w:rPr>
          <w:rFonts w:asciiTheme="minorHAnsi" w:hAnsiTheme="minorHAnsi"/>
          <w:sz w:val="22"/>
          <w:szCs w:val="22"/>
          <w:lang w:val="en-AU"/>
        </w:rPr>
        <w:t xml:space="preserve">  </w:t>
      </w:r>
      <w:r w:rsidR="001B2C90" w:rsidRPr="0053214D">
        <w:rPr>
          <w:rFonts w:asciiTheme="minorHAnsi" w:hAnsiTheme="minorHAnsi"/>
          <w:sz w:val="22"/>
          <w:szCs w:val="22"/>
        </w:rPr>
        <w:t>If none declare “None”</w:t>
      </w:r>
      <w:r w:rsidR="005017EE" w:rsidRPr="0053214D">
        <w:rPr>
          <w:rFonts w:asciiTheme="minorHAnsi" w:hAnsiTheme="minorHAnsi"/>
          <w:sz w:val="22"/>
          <w:szCs w:val="22"/>
        </w:rPr>
        <w:t>; i</w:t>
      </w:r>
      <w:r w:rsidR="001B2C90" w:rsidRPr="0053214D">
        <w:rPr>
          <w:rFonts w:asciiTheme="minorHAnsi" w:hAnsiTheme="minorHAnsi"/>
          <w:sz w:val="22"/>
          <w:szCs w:val="22"/>
        </w:rPr>
        <w:t xml:space="preserve">f yes, please describe organization and type of </w:t>
      </w:r>
      <w:r w:rsidR="00702353" w:rsidRPr="0053214D">
        <w:rPr>
          <w:rFonts w:asciiTheme="minorHAnsi" w:hAnsiTheme="minorHAnsi"/>
          <w:sz w:val="22"/>
          <w:szCs w:val="22"/>
        </w:rPr>
        <w:t>employment, stocks, or paid activity.</w:t>
      </w:r>
      <w:r w:rsidR="001B2C90" w:rsidRPr="0053214D">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9301"/>
      </w:tblGrid>
      <w:tr w:rsidR="005017EE" w:rsidRPr="0053214D" w:rsidTr="005017EE">
        <w:tc>
          <w:tcPr>
            <w:tcW w:w="9576" w:type="dxa"/>
          </w:tcPr>
          <w:p w:rsidR="005017EE" w:rsidRPr="0053214D" w:rsidRDefault="005017EE" w:rsidP="009E41BA">
            <w:pPr>
              <w:pStyle w:val="NormalWeb"/>
              <w:spacing w:after="0" w:afterAutospacing="0"/>
              <w:rPr>
                <w:rFonts w:asciiTheme="minorHAnsi" w:hAnsiTheme="minorHAnsi"/>
                <w:sz w:val="22"/>
                <w:szCs w:val="22"/>
              </w:rPr>
            </w:pPr>
          </w:p>
          <w:p w:rsidR="005017EE" w:rsidRPr="0053214D" w:rsidRDefault="005017EE" w:rsidP="009E41BA">
            <w:pPr>
              <w:pStyle w:val="NormalWeb"/>
              <w:spacing w:after="0" w:afterAutospacing="0"/>
              <w:rPr>
                <w:rFonts w:asciiTheme="minorHAnsi" w:hAnsiTheme="minorHAnsi"/>
                <w:sz w:val="22"/>
                <w:szCs w:val="22"/>
              </w:rPr>
            </w:pPr>
          </w:p>
          <w:p w:rsidR="005017EE" w:rsidRPr="0053214D" w:rsidRDefault="005017EE" w:rsidP="009E41BA">
            <w:pPr>
              <w:pStyle w:val="NormalWeb"/>
              <w:spacing w:after="0" w:afterAutospacing="0"/>
              <w:rPr>
                <w:rFonts w:asciiTheme="minorHAnsi" w:hAnsiTheme="minorHAnsi"/>
                <w:sz w:val="22"/>
                <w:szCs w:val="22"/>
              </w:rPr>
            </w:pPr>
          </w:p>
          <w:p w:rsidR="005017EE" w:rsidRPr="0053214D" w:rsidRDefault="005017EE" w:rsidP="009E41BA">
            <w:pPr>
              <w:pStyle w:val="NormalWeb"/>
              <w:spacing w:after="0" w:afterAutospacing="0"/>
              <w:rPr>
                <w:rFonts w:asciiTheme="minorHAnsi" w:hAnsiTheme="minorHAnsi"/>
                <w:sz w:val="22"/>
                <w:szCs w:val="22"/>
              </w:rPr>
            </w:pPr>
          </w:p>
          <w:p w:rsidR="005017EE" w:rsidRPr="0053214D" w:rsidRDefault="005017EE" w:rsidP="009E41BA">
            <w:pPr>
              <w:pStyle w:val="NormalWeb"/>
              <w:spacing w:after="0" w:afterAutospacing="0"/>
              <w:rPr>
                <w:rFonts w:asciiTheme="minorHAnsi" w:hAnsiTheme="minorHAnsi"/>
                <w:sz w:val="22"/>
                <w:szCs w:val="22"/>
              </w:rPr>
            </w:pPr>
          </w:p>
          <w:p w:rsidR="005017EE" w:rsidRPr="0053214D" w:rsidRDefault="005017EE" w:rsidP="009E41BA">
            <w:pPr>
              <w:pStyle w:val="NormalWeb"/>
              <w:spacing w:after="0" w:afterAutospacing="0"/>
              <w:rPr>
                <w:rFonts w:asciiTheme="minorHAnsi" w:hAnsiTheme="minorHAnsi"/>
                <w:sz w:val="22"/>
                <w:szCs w:val="22"/>
              </w:rPr>
            </w:pPr>
          </w:p>
        </w:tc>
      </w:tr>
    </w:tbl>
    <w:p w:rsidR="009E41BA" w:rsidRPr="0053214D" w:rsidRDefault="009E41BA" w:rsidP="009E41BA">
      <w:pPr>
        <w:pStyle w:val="NormalWeb"/>
        <w:spacing w:after="0" w:afterAutospacing="0"/>
        <w:rPr>
          <w:rFonts w:asciiTheme="minorHAnsi" w:hAnsiTheme="minorHAnsi"/>
          <w:sz w:val="22"/>
          <w:szCs w:val="22"/>
        </w:rPr>
      </w:pPr>
    </w:p>
    <w:p w:rsidR="005C316A" w:rsidRPr="0053214D" w:rsidRDefault="005C316A" w:rsidP="009E41BA">
      <w:pPr>
        <w:pStyle w:val="NormalWeb"/>
        <w:spacing w:after="0" w:afterAutospacing="0"/>
        <w:rPr>
          <w:rFonts w:asciiTheme="minorHAnsi" w:hAnsiTheme="minorHAnsi"/>
          <w:sz w:val="22"/>
          <w:szCs w:val="22"/>
        </w:rPr>
      </w:pPr>
      <w:r w:rsidRPr="0053214D">
        <w:rPr>
          <w:rFonts w:asciiTheme="minorHAnsi" w:hAnsiTheme="minorHAnsi"/>
          <w:sz w:val="22"/>
          <w:szCs w:val="22"/>
        </w:rPr>
        <w:t>3</w:t>
      </w:r>
      <w:r w:rsidR="00982B9B" w:rsidRPr="0053214D">
        <w:rPr>
          <w:rFonts w:asciiTheme="minorHAnsi" w:hAnsiTheme="minorHAnsi"/>
          <w:sz w:val="22"/>
          <w:szCs w:val="22"/>
        </w:rPr>
        <w:t xml:space="preserve">. </w:t>
      </w:r>
      <w:r w:rsidRPr="0053214D">
        <w:rPr>
          <w:rFonts w:asciiTheme="minorHAnsi" w:hAnsiTheme="minorHAnsi"/>
          <w:sz w:val="22"/>
          <w:szCs w:val="22"/>
          <w:u w:val="single"/>
          <w:lang w:val="en-AU"/>
        </w:rPr>
        <w:t>Competing interests</w:t>
      </w:r>
      <w:r w:rsidRPr="0053214D">
        <w:rPr>
          <w:rFonts w:asciiTheme="minorHAnsi" w:hAnsiTheme="minorHAnsi"/>
          <w:sz w:val="22"/>
          <w:szCs w:val="22"/>
          <w:lang w:val="en-AU"/>
        </w:rPr>
        <w:t xml:space="preserve">: </w:t>
      </w:r>
      <w:r w:rsidR="00982B9B" w:rsidRPr="0053214D">
        <w:rPr>
          <w:rFonts w:asciiTheme="minorHAnsi" w:hAnsiTheme="minorHAnsi"/>
          <w:sz w:val="22"/>
          <w:szCs w:val="22"/>
          <w:u w:val="single"/>
        </w:rPr>
        <w:t>Non-financial</w:t>
      </w:r>
    </w:p>
    <w:p w:rsidR="005C316A" w:rsidRPr="0053214D" w:rsidRDefault="005C316A" w:rsidP="009E41BA">
      <w:pPr>
        <w:pStyle w:val="NormalWeb"/>
        <w:spacing w:after="0" w:afterAutospacing="0"/>
        <w:rPr>
          <w:rFonts w:asciiTheme="minorHAnsi" w:hAnsiTheme="minorHAnsi"/>
          <w:sz w:val="22"/>
          <w:szCs w:val="22"/>
        </w:rPr>
      </w:pPr>
    </w:p>
    <w:p w:rsidR="009E41BA" w:rsidRPr="0053214D" w:rsidRDefault="005C316A" w:rsidP="009E41BA">
      <w:pPr>
        <w:pStyle w:val="NormalWeb"/>
        <w:spacing w:after="0" w:afterAutospacing="0"/>
        <w:rPr>
          <w:rFonts w:asciiTheme="minorHAnsi" w:hAnsiTheme="minorHAnsi"/>
          <w:sz w:val="22"/>
          <w:szCs w:val="22"/>
          <w:lang w:val="en-AU"/>
        </w:rPr>
      </w:pPr>
      <w:r w:rsidRPr="0053214D">
        <w:rPr>
          <w:rFonts w:asciiTheme="minorHAnsi" w:hAnsiTheme="minorHAnsi"/>
          <w:sz w:val="22"/>
          <w:szCs w:val="22"/>
        </w:rPr>
        <w:t>3.1</w:t>
      </w:r>
      <w:proofErr w:type="gramStart"/>
      <w:r w:rsidR="009E41BA" w:rsidRPr="0053214D">
        <w:rPr>
          <w:rFonts w:asciiTheme="minorHAnsi" w:hAnsiTheme="minorHAnsi"/>
          <w:sz w:val="22"/>
          <w:szCs w:val="22"/>
        </w:rPr>
        <w:t>.  Do</w:t>
      </w:r>
      <w:proofErr w:type="gramEnd"/>
      <w:r w:rsidR="009E41BA" w:rsidRPr="0053214D">
        <w:rPr>
          <w:rFonts w:asciiTheme="minorHAnsi" w:hAnsiTheme="minorHAnsi"/>
          <w:sz w:val="22"/>
          <w:szCs w:val="22"/>
        </w:rPr>
        <w:t xml:space="preserve"> you have any </w:t>
      </w:r>
      <w:r w:rsidR="00134396" w:rsidRPr="0053214D">
        <w:rPr>
          <w:rFonts w:asciiTheme="minorHAnsi" w:hAnsiTheme="minorHAnsi"/>
          <w:sz w:val="22"/>
          <w:szCs w:val="22"/>
        </w:rPr>
        <w:t xml:space="preserve">significant or obvious </w:t>
      </w:r>
      <w:r w:rsidR="009E41BA" w:rsidRPr="0053214D">
        <w:rPr>
          <w:rFonts w:asciiTheme="minorHAnsi" w:hAnsiTheme="minorHAnsi"/>
          <w:sz w:val="22"/>
          <w:szCs w:val="22"/>
        </w:rPr>
        <w:t>non-financial competing interests (real or apparent)</w:t>
      </w:r>
      <w:r w:rsidR="00134396" w:rsidRPr="0053214D">
        <w:rPr>
          <w:rFonts w:asciiTheme="minorHAnsi" w:hAnsiTheme="minorHAnsi"/>
          <w:sz w:val="22"/>
          <w:szCs w:val="22"/>
        </w:rPr>
        <w:t xml:space="preserve"> that the editor and</w:t>
      </w:r>
      <w:r w:rsidR="00776545" w:rsidRPr="0053214D">
        <w:rPr>
          <w:rFonts w:asciiTheme="minorHAnsi" w:hAnsiTheme="minorHAnsi"/>
          <w:sz w:val="22"/>
          <w:szCs w:val="22"/>
        </w:rPr>
        <w:t xml:space="preserve">/or </w:t>
      </w:r>
      <w:r w:rsidR="00134396" w:rsidRPr="0053214D">
        <w:rPr>
          <w:rFonts w:asciiTheme="minorHAnsi" w:hAnsiTheme="minorHAnsi"/>
          <w:sz w:val="22"/>
          <w:szCs w:val="22"/>
        </w:rPr>
        <w:t>the reader should know about in order to judge the objectivity of a particular article or other work</w:t>
      </w:r>
      <w:r w:rsidR="009E41BA" w:rsidRPr="0053214D">
        <w:rPr>
          <w:rFonts w:asciiTheme="minorHAnsi" w:hAnsiTheme="minorHAnsi"/>
          <w:sz w:val="22"/>
          <w:szCs w:val="22"/>
        </w:rPr>
        <w:t xml:space="preserve">? </w:t>
      </w:r>
      <w:r w:rsidR="00702353" w:rsidRPr="0053214D">
        <w:rPr>
          <w:rFonts w:asciiTheme="minorHAnsi" w:hAnsiTheme="minorHAnsi"/>
          <w:sz w:val="22"/>
          <w:szCs w:val="22"/>
        </w:rPr>
        <w:t xml:space="preserve"> </w:t>
      </w:r>
      <w:r w:rsidR="00702353" w:rsidRPr="0053214D">
        <w:rPr>
          <w:rFonts w:asciiTheme="minorHAnsi" w:hAnsiTheme="minorHAnsi"/>
          <w:sz w:val="22"/>
          <w:szCs w:val="22"/>
          <w:lang w:val="en-AU"/>
        </w:rPr>
        <w:t>If none declare “None”</w:t>
      </w:r>
      <w:r w:rsidR="005017EE" w:rsidRPr="0053214D">
        <w:rPr>
          <w:rFonts w:asciiTheme="minorHAnsi" w:hAnsiTheme="minorHAnsi"/>
          <w:sz w:val="22"/>
          <w:szCs w:val="22"/>
          <w:lang w:val="en-AU"/>
        </w:rPr>
        <w:t>; i</w:t>
      </w:r>
      <w:r w:rsidR="00702353" w:rsidRPr="0053214D">
        <w:rPr>
          <w:rFonts w:asciiTheme="minorHAnsi" w:hAnsiTheme="minorHAnsi"/>
          <w:sz w:val="22"/>
          <w:szCs w:val="22"/>
          <w:lang w:val="en-AU"/>
        </w:rPr>
        <w:t>f yes, please describe</w:t>
      </w:r>
      <w:r w:rsidR="005017EE" w:rsidRPr="0053214D">
        <w:rPr>
          <w:rFonts w:asciiTheme="minorHAnsi" w:hAnsiTheme="minorHAnsi"/>
          <w:sz w:val="22"/>
          <w:szCs w:val="22"/>
          <w:lang w:val="en-AU"/>
        </w:rPr>
        <w:t>.</w:t>
      </w:r>
      <w:r w:rsidR="00702353" w:rsidRPr="0053214D">
        <w:rPr>
          <w:rFonts w:asciiTheme="minorHAnsi" w:hAnsiTheme="minorHAnsi"/>
          <w:sz w:val="22"/>
          <w:szCs w:val="22"/>
          <w:lang w:val="en-AU"/>
        </w:rPr>
        <w:t xml:space="preserve"> </w:t>
      </w:r>
    </w:p>
    <w:p w:rsidR="005017EE" w:rsidRPr="0053214D" w:rsidRDefault="005017EE" w:rsidP="009E41BA">
      <w:pPr>
        <w:pStyle w:val="NormalWeb"/>
        <w:spacing w:after="0" w:afterAutospacing="0"/>
        <w:rPr>
          <w:rFonts w:asciiTheme="minorHAnsi" w:hAnsiTheme="minorHAnsi"/>
          <w:sz w:val="22"/>
          <w:szCs w:val="22"/>
        </w:rPr>
      </w:pPr>
    </w:p>
    <w:tbl>
      <w:tblPr>
        <w:tblStyle w:val="TableGrid"/>
        <w:tblW w:w="0" w:type="auto"/>
        <w:tblLook w:val="04A0" w:firstRow="1" w:lastRow="0" w:firstColumn="1" w:lastColumn="0" w:noHBand="0" w:noVBand="1"/>
      </w:tblPr>
      <w:tblGrid>
        <w:gridCol w:w="9301"/>
      </w:tblGrid>
      <w:tr w:rsidR="005017EE" w:rsidRPr="0053214D" w:rsidTr="005017EE">
        <w:tc>
          <w:tcPr>
            <w:tcW w:w="9576" w:type="dxa"/>
          </w:tcPr>
          <w:p w:rsidR="005017EE" w:rsidRPr="0053214D" w:rsidRDefault="005017EE" w:rsidP="009E41BA">
            <w:pPr>
              <w:pStyle w:val="NormalWeb"/>
              <w:rPr>
                <w:rFonts w:asciiTheme="minorHAnsi" w:hAnsiTheme="minorHAnsi"/>
                <w:sz w:val="22"/>
                <w:szCs w:val="22"/>
                <w:lang w:val="en-AU"/>
              </w:rPr>
            </w:pPr>
          </w:p>
          <w:p w:rsidR="005017EE" w:rsidRPr="0053214D" w:rsidRDefault="005017EE" w:rsidP="009E41BA">
            <w:pPr>
              <w:pStyle w:val="NormalWeb"/>
              <w:rPr>
                <w:rFonts w:asciiTheme="minorHAnsi" w:hAnsiTheme="minorHAnsi"/>
                <w:sz w:val="22"/>
                <w:szCs w:val="22"/>
                <w:lang w:val="en-AU"/>
              </w:rPr>
            </w:pPr>
          </w:p>
          <w:p w:rsidR="005017EE" w:rsidRPr="0053214D" w:rsidRDefault="005017EE" w:rsidP="009E41BA">
            <w:pPr>
              <w:pStyle w:val="NormalWeb"/>
              <w:rPr>
                <w:rFonts w:asciiTheme="minorHAnsi" w:hAnsiTheme="minorHAnsi"/>
                <w:sz w:val="22"/>
                <w:szCs w:val="22"/>
                <w:lang w:val="en-AU"/>
              </w:rPr>
            </w:pPr>
          </w:p>
        </w:tc>
      </w:tr>
    </w:tbl>
    <w:p w:rsidR="005017EE" w:rsidRPr="0053214D" w:rsidRDefault="005017EE" w:rsidP="009E41BA">
      <w:pPr>
        <w:pStyle w:val="NormalWeb"/>
        <w:rPr>
          <w:rFonts w:asciiTheme="minorHAnsi" w:hAnsiTheme="minorHAnsi"/>
          <w:sz w:val="22"/>
          <w:szCs w:val="22"/>
          <w:lang w:val="en-AU"/>
        </w:rPr>
      </w:pPr>
    </w:p>
    <w:p w:rsidR="009E41BA" w:rsidRPr="0053214D" w:rsidRDefault="009E41BA" w:rsidP="005017EE">
      <w:pPr>
        <w:pStyle w:val="NormalWeb"/>
        <w:spacing w:after="0" w:afterAutospacing="0"/>
        <w:rPr>
          <w:rFonts w:asciiTheme="minorHAnsi" w:hAnsiTheme="minorHAnsi"/>
          <w:sz w:val="22"/>
          <w:szCs w:val="22"/>
        </w:rPr>
      </w:pPr>
      <w:r w:rsidRPr="0053214D">
        <w:rPr>
          <w:rFonts w:asciiTheme="minorHAnsi" w:hAnsiTheme="minorHAnsi"/>
          <w:sz w:val="22"/>
          <w:szCs w:val="22"/>
        </w:rPr>
        <w:t>To learn more about the thinking that has led to this policy please read the editorial</w:t>
      </w:r>
      <w:r w:rsidR="00DF54F0" w:rsidRPr="0053214D">
        <w:rPr>
          <w:rFonts w:asciiTheme="minorHAnsi" w:hAnsiTheme="minorHAnsi"/>
          <w:sz w:val="22"/>
          <w:szCs w:val="22"/>
        </w:rPr>
        <w:t>,</w:t>
      </w:r>
      <w:r w:rsidRPr="0053214D">
        <w:rPr>
          <w:rFonts w:asciiTheme="minorHAnsi" w:hAnsiTheme="minorHAnsi"/>
          <w:sz w:val="22"/>
          <w:szCs w:val="22"/>
        </w:rPr>
        <w:t xml:space="preserve"> </w:t>
      </w:r>
      <w:hyperlink r:id="rId7" w:history="1">
        <w:r w:rsidR="00DF54F0" w:rsidRPr="0053214D">
          <w:rPr>
            <w:rStyle w:val="Hyperlink"/>
            <w:rFonts w:asciiTheme="minorHAnsi" w:hAnsiTheme="minorHAnsi"/>
            <w:sz w:val="22"/>
            <w:szCs w:val="22"/>
          </w:rPr>
          <w:t>“</w:t>
        </w:r>
        <w:r w:rsidRPr="0053214D">
          <w:rPr>
            <w:rStyle w:val="Hyperlink"/>
            <w:rFonts w:asciiTheme="minorHAnsi" w:hAnsiTheme="minorHAnsi"/>
            <w:sz w:val="22"/>
            <w:szCs w:val="22"/>
          </w:rPr>
          <w:t>Beyond conflict of interest</w:t>
        </w:r>
        <w:r w:rsidR="00DF54F0" w:rsidRPr="0053214D">
          <w:rPr>
            <w:rStyle w:val="Hyperlink"/>
            <w:rFonts w:asciiTheme="minorHAnsi" w:hAnsiTheme="minorHAnsi"/>
            <w:sz w:val="22"/>
            <w:szCs w:val="22"/>
          </w:rPr>
          <w:t>”</w:t>
        </w:r>
      </w:hyperlink>
      <w:r w:rsidR="00B44C54" w:rsidRPr="0053214D">
        <w:rPr>
          <w:rFonts w:asciiTheme="minorHAnsi" w:hAnsiTheme="minorHAnsi"/>
          <w:sz w:val="22"/>
          <w:szCs w:val="22"/>
        </w:rPr>
        <w:t xml:space="preserve"> (BMJ 1998; 317: 293-4)</w:t>
      </w:r>
      <w:r w:rsidR="00DF54F0" w:rsidRPr="0053214D">
        <w:rPr>
          <w:rFonts w:asciiTheme="minorHAnsi" w:hAnsiTheme="minorHAnsi"/>
          <w:sz w:val="22"/>
          <w:szCs w:val="22"/>
        </w:rPr>
        <w:t>.  Also see</w:t>
      </w:r>
      <w:r w:rsidRPr="0053214D">
        <w:rPr>
          <w:rFonts w:asciiTheme="minorHAnsi" w:hAnsiTheme="minorHAnsi"/>
          <w:sz w:val="22"/>
          <w:szCs w:val="22"/>
        </w:rPr>
        <w:t xml:space="preserve"> review documents on Competing Interests at </w:t>
      </w:r>
      <w:hyperlink r:id="rId8" w:history="1">
        <w:r w:rsidR="00254983" w:rsidRPr="0053214D">
          <w:rPr>
            <w:rStyle w:val="Hyperlink"/>
            <w:rFonts w:asciiTheme="minorHAnsi" w:hAnsiTheme="minorHAnsi"/>
            <w:sz w:val="22"/>
            <w:szCs w:val="22"/>
          </w:rPr>
          <w:t>www.isaje.net</w:t>
        </w:r>
      </w:hyperlink>
      <w:r w:rsidR="005600DE" w:rsidRPr="0053214D">
        <w:rPr>
          <w:rFonts w:asciiTheme="minorHAnsi" w:hAnsiTheme="minorHAnsi"/>
          <w:sz w:val="22"/>
          <w:szCs w:val="22"/>
        </w:rPr>
        <w:t xml:space="preserve">, including an </w:t>
      </w:r>
      <w:hyperlink r:id="rId9" w:history="1">
        <w:r w:rsidR="005600DE" w:rsidRPr="0053214D">
          <w:rPr>
            <w:rStyle w:val="Hyperlink"/>
            <w:rFonts w:asciiTheme="minorHAnsi" w:hAnsiTheme="minorHAnsi"/>
            <w:sz w:val="22"/>
            <w:szCs w:val="22"/>
          </w:rPr>
          <w:t>Annotated Bibliography of articles on Competing Interests.</w:t>
        </w:r>
      </w:hyperlink>
    </w:p>
    <w:p w:rsidR="0053214D" w:rsidRPr="0053214D" w:rsidRDefault="0053214D">
      <w:pPr>
        <w:spacing w:after="200" w:line="276" w:lineRule="auto"/>
        <w:rPr>
          <w:rFonts w:asciiTheme="minorHAnsi" w:hAnsiTheme="minorHAnsi" w:cs="Arial"/>
          <w:sz w:val="22"/>
          <w:szCs w:val="22"/>
          <w:lang w:val="en-US"/>
        </w:rPr>
      </w:pPr>
      <w:r w:rsidRPr="0053214D">
        <w:rPr>
          <w:rFonts w:asciiTheme="minorHAnsi" w:hAnsiTheme="minorHAnsi"/>
          <w:sz w:val="22"/>
          <w:szCs w:val="22"/>
        </w:rPr>
        <w:br w:type="page"/>
      </w:r>
    </w:p>
    <w:p w:rsidR="0053214D" w:rsidRPr="0053214D" w:rsidRDefault="0053214D" w:rsidP="0053214D">
      <w:pPr>
        <w:spacing w:before="100" w:beforeAutospacing="1" w:after="100" w:afterAutospacing="1"/>
        <w:jc w:val="center"/>
        <w:rPr>
          <w:rFonts w:asciiTheme="minorHAnsi" w:hAnsiTheme="minorHAnsi"/>
          <w:color w:val="000000"/>
          <w:sz w:val="22"/>
          <w:szCs w:val="22"/>
          <w:lang w:val="en-GB" w:eastAsia="en-GB"/>
        </w:rPr>
      </w:pPr>
      <w:r w:rsidRPr="0053214D">
        <w:rPr>
          <w:rFonts w:asciiTheme="minorHAnsi" w:hAnsiTheme="minorHAnsi"/>
          <w:b/>
          <w:color w:val="000000"/>
          <w:sz w:val="22"/>
          <w:szCs w:val="22"/>
          <w:lang w:val="en-GB" w:eastAsia="en-GB"/>
        </w:rPr>
        <w:lastRenderedPageBreak/>
        <w:t xml:space="preserve">Appendix </w:t>
      </w:r>
      <w:proofErr w:type="gramStart"/>
      <w:r w:rsidRPr="0053214D">
        <w:rPr>
          <w:rFonts w:asciiTheme="minorHAnsi" w:hAnsiTheme="minorHAnsi"/>
          <w:b/>
          <w:color w:val="000000"/>
          <w:sz w:val="22"/>
          <w:szCs w:val="22"/>
          <w:lang w:val="en-GB" w:eastAsia="en-GB"/>
        </w:rPr>
        <w:t>A</w:t>
      </w:r>
      <w:proofErr w:type="gramEnd"/>
      <w:r w:rsidRPr="0053214D">
        <w:rPr>
          <w:rFonts w:asciiTheme="minorHAnsi" w:hAnsiTheme="minorHAnsi"/>
          <w:color w:val="000000"/>
          <w:sz w:val="22"/>
          <w:szCs w:val="22"/>
          <w:lang w:val="en-GB" w:eastAsia="en-GB"/>
        </w:rPr>
        <w:br/>
        <w:t>Examples of organizations that should be declared on ISAJE Funding Declaration and Competing Interests Form*</w:t>
      </w:r>
    </w:p>
    <w:p w:rsidR="0053214D" w:rsidRPr="0053214D" w:rsidRDefault="0053214D" w:rsidP="0053214D">
      <w:pPr>
        <w:rPr>
          <w:rFonts w:asciiTheme="minorHAnsi" w:hAnsiTheme="minorHAnsi"/>
          <w:color w:val="000000"/>
          <w:sz w:val="22"/>
          <w:szCs w:val="22"/>
          <w:lang w:val="en-GB" w:eastAsia="en-GB"/>
        </w:rPr>
      </w:pPr>
      <w:r w:rsidRPr="0053214D">
        <w:rPr>
          <w:rFonts w:asciiTheme="minorHAnsi" w:hAnsiTheme="minorHAnsi"/>
          <w:b/>
          <w:bCs/>
          <w:color w:val="000000"/>
          <w:sz w:val="22"/>
          <w:szCs w:val="22"/>
          <w:lang w:val="en-GB" w:eastAsia="en-GB"/>
        </w:rPr>
        <w:t>Social Aspect Organizations:</w:t>
      </w:r>
    </w:p>
    <w:p w:rsidR="0053214D" w:rsidRPr="0053214D" w:rsidRDefault="0053214D" w:rsidP="0053214D">
      <w:pPr>
        <w:numPr>
          <w:ilvl w:val="0"/>
          <w:numId w:val="3"/>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Amsterdam Group (TAG)</w:t>
      </w:r>
    </w:p>
    <w:p w:rsidR="0053214D" w:rsidRPr="0053214D" w:rsidRDefault="0053214D" w:rsidP="0053214D">
      <w:pPr>
        <w:numPr>
          <w:ilvl w:val="0"/>
          <w:numId w:val="3"/>
        </w:numPr>
        <w:rPr>
          <w:rFonts w:asciiTheme="minorHAnsi" w:hAnsiTheme="minorHAnsi"/>
          <w:color w:val="000000"/>
          <w:sz w:val="22"/>
          <w:szCs w:val="22"/>
          <w:lang w:val="en-GB" w:eastAsia="en-GB"/>
        </w:rPr>
      </w:pPr>
      <w:proofErr w:type="spellStart"/>
      <w:r w:rsidRPr="0053214D">
        <w:rPr>
          <w:rFonts w:asciiTheme="minorHAnsi" w:hAnsiTheme="minorHAnsi"/>
          <w:color w:val="000000"/>
          <w:sz w:val="22"/>
          <w:szCs w:val="22"/>
          <w:lang w:val="en-GB" w:eastAsia="en-GB"/>
        </w:rPr>
        <w:t>Arnoldus</w:t>
      </w:r>
      <w:proofErr w:type="spellEnd"/>
      <w:r w:rsidRPr="0053214D">
        <w:rPr>
          <w:rFonts w:asciiTheme="minorHAnsi" w:hAnsiTheme="minorHAnsi"/>
          <w:color w:val="000000"/>
          <w:sz w:val="22"/>
          <w:szCs w:val="22"/>
          <w:lang w:val="en-GB" w:eastAsia="en-GB"/>
        </w:rPr>
        <w:t xml:space="preserve"> Group</w:t>
      </w:r>
    </w:p>
    <w:p w:rsidR="0053214D" w:rsidRPr="0053214D" w:rsidRDefault="0053214D" w:rsidP="0053214D">
      <w:pPr>
        <w:numPr>
          <w:ilvl w:val="0"/>
          <w:numId w:val="3"/>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Association for Responsible Alcohol Use (ARA)</w:t>
      </w:r>
    </w:p>
    <w:p w:rsidR="0053214D" w:rsidRPr="0053214D" w:rsidRDefault="0053214D" w:rsidP="0053214D">
      <w:pPr>
        <w:numPr>
          <w:ilvl w:val="0"/>
          <w:numId w:val="3"/>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Century Council</w:t>
      </w:r>
    </w:p>
    <w:p w:rsidR="0053214D" w:rsidRPr="0053214D" w:rsidRDefault="0053214D" w:rsidP="0053214D">
      <w:pPr>
        <w:numPr>
          <w:ilvl w:val="0"/>
          <w:numId w:val="3"/>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 xml:space="preserve">Distilled Spirits Industry Council of Australia </w:t>
      </w:r>
      <w:proofErr w:type="spellStart"/>
      <w:r w:rsidRPr="0053214D">
        <w:rPr>
          <w:rFonts w:asciiTheme="minorHAnsi" w:hAnsiTheme="minorHAnsi"/>
          <w:color w:val="000000"/>
          <w:sz w:val="22"/>
          <w:szCs w:val="22"/>
          <w:lang w:val="en-GB" w:eastAsia="en-GB"/>
        </w:rPr>
        <w:t>Inc</w:t>
      </w:r>
      <w:proofErr w:type="spellEnd"/>
    </w:p>
    <w:p w:rsidR="0053214D" w:rsidRPr="0053214D" w:rsidRDefault="0053214D" w:rsidP="0053214D">
      <w:pPr>
        <w:numPr>
          <w:ilvl w:val="0"/>
          <w:numId w:val="3"/>
        </w:numPr>
        <w:rPr>
          <w:rFonts w:asciiTheme="minorHAnsi" w:hAnsiTheme="minorHAnsi"/>
          <w:color w:val="000000"/>
          <w:sz w:val="22"/>
          <w:szCs w:val="22"/>
          <w:lang w:val="en-GB" w:eastAsia="en-GB"/>
        </w:rPr>
      </w:pPr>
      <w:proofErr w:type="spellStart"/>
      <w:r w:rsidRPr="0053214D">
        <w:rPr>
          <w:rFonts w:asciiTheme="minorHAnsi" w:hAnsiTheme="minorHAnsi"/>
          <w:color w:val="000000"/>
          <w:sz w:val="22"/>
          <w:szCs w:val="22"/>
          <w:lang w:val="en-GB" w:eastAsia="en-GB"/>
        </w:rPr>
        <w:t>Entreprise</w:t>
      </w:r>
      <w:proofErr w:type="spellEnd"/>
      <w:r w:rsidRPr="0053214D">
        <w:rPr>
          <w:rFonts w:asciiTheme="minorHAnsi" w:hAnsiTheme="minorHAnsi"/>
          <w:color w:val="000000"/>
          <w:sz w:val="22"/>
          <w:szCs w:val="22"/>
          <w:lang w:val="en-GB" w:eastAsia="en-GB"/>
        </w:rPr>
        <w:t xml:space="preserve"> et Prevention</w:t>
      </w:r>
    </w:p>
    <w:p w:rsidR="0053214D" w:rsidRPr="0053214D" w:rsidRDefault="0053214D" w:rsidP="0053214D">
      <w:pPr>
        <w:numPr>
          <w:ilvl w:val="0"/>
          <w:numId w:val="3"/>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European Forum on Responsible Drinking (EFRD)</w:t>
      </w:r>
    </w:p>
    <w:p w:rsidR="0053214D" w:rsidRPr="0053214D" w:rsidRDefault="0053214D" w:rsidP="0053214D">
      <w:pPr>
        <w:numPr>
          <w:ilvl w:val="0"/>
          <w:numId w:val="3"/>
        </w:numPr>
        <w:rPr>
          <w:rFonts w:asciiTheme="minorHAnsi" w:hAnsiTheme="minorHAnsi"/>
          <w:color w:val="000000"/>
          <w:sz w:val="22"/>
          <w:szCs w:val="22"/>
          <w:lang w:val="en-GB" w:eastAsia="en-GB"/>
        </w:rPr>
      </w:pPr>
      <w:proofErr w:type="spellStart"/>
      <w:r w:rsidRPr="0053214D">
        <w:rPr>
          <w:rFonts w:asciiTheme="minorHAnsi" w:hAnsiTheme="minorHAnsi"/>
          <w:color w:val="000000"/>
          <w:sz w:val="22"/>
          <w:szCs w:val="22"/>
          <w:lang w:val="en-GB" w:eastAsia="en-GB"/>
        </w:rPr>
        <w:t>Drinkaware</w:t>
      </w:r>
      <w:proofErr w:type="spellEnd"/>
      <w:r w:rsidRPr="0053214D">
        <w:rPr>
          <w:rFonts w:asciiTheme="minorHAnsi" w:hAnsiTheme="minorHAnsi"/>
          <w:color w:val="000000"/>
          <w:sz w:val="22"/>
          <w:szCs w:val="22"/>
          <w:lang w:val="en-GB" w:eastAsia="en-GB"/>
        </w:rPr>
        <w:t xml:space="preserve"> Trust (http://www.drinkaware.co.uk/about-us)</w:t>
      </w:r>
    </w:p>
    <w:p w:rsidR="0053214D" w:rsidRPr="0053214D" w:rsidRDefault="0053214D" w:rsidP="0053214D">
      <w:pPr>
        <w:numPr>
          <w:ilvl w:val="0"/>
          <w:numId w:val="3"/>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European Spirits Organisation -CEPS</w:t>
      </w:r>
    </w:p>
    <w:p w:rsidR="0053214D" w:rsidRPr="0053214D" w:rsidRDefault="0053214D" w:rsidP="0053214D">
      <w:pPr>
        <w:numPr>
          <w:ilvl w:val="0"/>
          <w:numId w:val="3"/>
        </w:numPr>
        <w:rPr>
          <w:rFonts w:asciiTheme="minorHAnsi" w:hAnsiTheme="minorHAnsi"/>
          <w:color w:val="000000"/>
          <w:sz w:val="22"/>
          <w:szCs w:val="22"/>
          <w:lang w:val="en-GB" w:eastAsia="en-GB"/>
        </w:rPr>
      </w:pPr>
      <w:proofErr w:type="spellStart"/>
      <w:r w:rsidRPr="0053214D">
        <w:rPr>
          <w:rFonts w:asciiTheme="minorHAnsi" w:hAnsiTheme="minorHAnsi"/>
          <w:color w:val="000000"/>
          <w:sz w:val="22"/>
          <w:szCs w:val="22"/>
          <w:lang w:val="en-GB" w:eastAsia="en-GB"/>
        </w:rPr>
        <w:t>Fundacion</w:t>
      </w:r>
      <w:proofErr w:type="spellEnd"/>
      <w:r w:rsidRPr="0053214D">
        <w:rPr>
          <w:rFonts w:asciiTheme="minorHAnsi" w:hAnsiTheme="minorHAnsi"/>
          <w:color w:val="000000"/>
          <w:sz w:val="22"/>
          <w:szCs w:val="22"/>
          <w:lang w:val="en-GB" w:eastAsia="en-GB"/>
        </w:rPr>
        <w:t xml:space="preserve"> Alcohol y </w:t>
      </w:r>
      <w:proofErr w:type="spellStart"/>
      <w:r w:rsidRPr="0053214D">
        <w:rPr>
          <w:rFonts w:asciiTheme="minorHAnsi" w:hAnsiTheme="minorHAnsi"/>
          <w:color w:val="000000"/>
          <w:sz w:val="22"/>
          <w:szCs w:val="22"/>
          <w:lang w:val="en-GB" w:eastAsia="en-GB"/>
        </w:rPr>
        <w:t>Sociedad</w:t>
      </w:r>
      <w:proofErr w:type="spellEnd"/>
      <w:r w:rsidRPr="0053214D">
        <w:rPr>
          <w:rFonts w:asciiTheme="minorHAnsi" w:hAnsiTheme="minorHAnsi"/>
          <w:color w:val="000000"/>
          <w:sz w:val="22"/>
          <w:szCs w:val="22"/>
          <w:lang w:val="en-GB" w:eastAsia="en-GB"/>
        </w:rPr>
        <w:t xml:space="preserve"> (FAS)</w:t>
      </w:r>
    </w:p>
    <w:p w:rsidR="0053214D" w:rsidRPr="0053214D" w:rsidRDefault="0053214D" w:rsidP="0053214D">
      <w:pPr>
        <w:numPr>
          <w:ilvl w:val="0"/>
          <w:numId w:val="3"/>
        </w:numPr>
        <w:rPr>
          <w:rFonts w:asciiTheme="minorHAnsi" w:hAnsiTheme="minorHAnsi"/>
          <w:color w:val="000000"/>
          <w:sz w:val="22"/>
          <w:szCs w:val="22"/>
          <w:lang w:val="en-GB" w:eastAsia="en-GB"/>
        </w:rPr>
      </w:pPr>
      <w:proofErr w:type="spellStart"/>
      <w:r w:rsidRPr="0053214D">
        <w:rPr>
          <w:rFonts w:asciiTheme="minorHAnsi" w:hAnsiTheme="minorHAnsi"/>
          <w:color w:val="000000"/>
          <w:sz w:val="22"/>
          <w:szCs w:val="22"/>
          <w:lang w:val="en-GB" w:eastAsia="en-GB"/>
        </w:rPr>
        <w:t>Foreningen</w:t>
      </w:r>
      <w:proofErr w:type="spellEnd"/>
      <w:r w:rsidRPr="0053214D">
        <w:rPr>
          <w:rFonts w:asciiTheme="minorHAnsi" w:hAnsiTheme="minorHAnsi"/>
          <w:color w:val="000000"/>
          <w:sz w:val="22"/>
          <w:szCs w:val="22"/>
          <w:lang w:val="en-GB" w:eastAsia="en-GB"/>
        </w:rPr>
        <w:t xml:space="preserve"> </w:t>
      </w:r>
      <w:proofErr w:type="spellStart"/>
      <w:r w:rsidRPr="0053214D">
        <w:rPr>
          <w:rFonts w:asciiTheme="minorHAnsi" w:hAnsiTheme="minorHAnsi"/>
          <w:color w:val="000000"/>
          <w:sz w:val="22"/>
          <w:szCs w:val="22"/>
          <w:lang w:val="en-GB" w:eastAsia="en-GB"/>
        </w:rPr>
        <w:t>Gode</w:t>
      </w:r>
      <w:proofErr w:type="spellEnd"/>
      <w:r w:rsidRPr="0053214D">
        <w:rPr>
          <w:rFonts w:asciiTheme="minorHAnsi" w:hAnsiTheme="minorHAnsi"/>
          <w:color w:val="000000"/>
          <w:sz w:val="22"/>
          <w:szCs w:val="22"/>
          <w:lang w:val="en-GB" w:eastAsia="en-GB"/>
        </w:rPr>
        <w:t xml:space="preserve"> </w:t>
      </w:r>
      <w:proofErr w:type="spellStart"/>
      <w:r w:rsidRPr="0053214D">
        <w:rPr>
          <w:rFonts w:asciiTheme="minorHAnsi" w:hAnsiTheme="minorHAnsi"/>
          <w:color w:val="000000"/>
          <w:sz w:val="22"/>
          <w:szCs w:val="22"/>
          <w:lang w:val="en-GB" w:eastAsia="en-GB"/>
        </w:rPr>
        <w:t>Alkoholdninger</w:t>
      </w:r>
      <w:proofErr w:type="spellEnd"/>
      <w:r w:rsidRPr="0053214D">
        <w:rPr>
          <w:rFonts w:asciiTheme="minorHAnsi" w:hAnsiTheme="minorHAnsi"/>
          <w:color w:val="000000"/>
          <w:sz w:val="22"/>
          <w:szCs w:val="22"/>
          <w:lang w:val="en-GB" w:eastAsia="en-GB"/>
        </w:rPr>
        <w:t xml:space="preserve"> (GODA)</w:t>
      </w:r>
    </w:p>
    <w:p w:rsidR="0053214D" w:rsidRPr="0053214D" w:rsidRDefault="0053214D" w:rsidP="0053214D">
      <w:pPr>
        <w:numPr>
          <w:ilvl w:val="0"/>
          <w:numId w:val="3"/>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Global Actions on Harmful Drinking</w:t>
      </w:r>
    </w:p>
    <w:p w:rsidR="0053214D" w:rsidRPr="0053214D" w:rsidRDefault="0053214D" w:rsidP="0053214D">
      <w:pPr>
        <w:numPr>
          <w:ilvl w:val="0"/>
          <w:numId w:val="3"/>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Industry Association for Responsible Alcohol Use (ARA)</w:t>
      </w:r>
    </w:p>
    <w:p w:rsidR="0053214D" w:rsidRPr="0053214D" w:rsidRDefault="0053214D" w:rsidP="0053214D">
      <w:pPr>
        <w:numPr>
          <w:ilvl w:val="0"/>
          <w:numId w:val="3"/>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 xml:space="preserve">International </w:t>
      </w:r>
      <w:proofErr w:type="spellStart"/>
      <w:r w:rsidRPr="0053214D">
        <w:rPr>
          <w:rFonts w:asciiTheme="minorHAnsi" w:hAnsiTheme="minorHAnsi"/>
          <w:color w:val="000000"/>
          <w:sz w:val="22"/>
          <w:szCs w:val="22"/>
          <w:lang w:val="en-GB" w:eastAsia="en-GB"/>
        </w:rPr>
        <w:t>Center</w:t>
      </w:r>
      <w:proofErr w:type="spellEnd"/>
      <w:r w:rsidRPr="0053214D">
        <w:rPr>
          <w:rFonts w:asciiTheme="minorHAnsi" w:hAnsiTheme="minorHAnsi"/>
          <w:color w:val="000000"/>
          <w:sz w:val="22"/>
          <w:szCs w:val="22"/>
          <w:lang w:val="en-GB" w:eastAsia="en-GB"/>
        </w:rPr>
        <w:t xml:space="preserve"> for Alcohol Policies (ICAP)</w:t>
      </w:r>
    </w:p>
    <w:p w:rsidR="0053214D" w:rsidRPr="0053214D" w:rsidRDefault="0053214D" w:rsidP="0053214D">
      <w:pPr>
        <w:numPr>
          <w:ilvl w:val="0"/>
          <w:numId w:val="3"/>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International Tobacco Documentation Centre</w:t>
      </w:r>
    </w:p>
    <w:p w:rsidR="0053214D" w:rsidRPr="0053214D" w:rsidRDefault="0053214D" w:rsidP="0053214D">
      <w:pPr>
        <w:numPr>
          <w:ilvl w:val="0"/>
          <w:numId w:val="3"/>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Mature Enjoyment of Alcohol in Society Limited (MEAS)</w:t>
      </w:r>
    </w:p>
    <w:p w:rsidR="0053214D" w:rsidRPr="0053214D" w:rsidRDefault="0053214D" w:rsidP="0053214D">
      <w:pPr>
        <w:numPr>
          <w:ilvl w:val="0"/>
          <w:numId w:val="3"/>
        </w:numPr>
        <w:rPr>
          <w:rFonts w:asciiTheme="minorHAnsi" w:hAnsiTheme="minorHAnsi"/>
          <w:color w:val="000000"/>
          <w:sz w:val="22"/>
          <w:szCs w:val="22"/>
          <w:lang w:val="en-GB" w:eastAsia="en-GB"/>
        </w:rPr>
      </w:pPr>
      <w:proofErr w:type="spellStart"/>
      <w:r w:rsidRPr="0053214D">
        <w:rPr>
          <w:rFonts w:asciiTheme="minorHAnsi" w:hAnsiTheme="minorHAnsi"/>
          <w:color w:val="000000"/>
          <w:sz w:val="22"/>
          <w:szCs w:val="22"/>
          <w:lang w:val="en-GB" w:eastAsia="en-GB"/>
        </w:rPr>
        <w:t>Nuorten</w:t>
      </w:r>
      <w:proofErr w:type="spellEnd"/>
      <w:r w:rsidRPr="0053214D">
        <w:rPr>
          <w:rFonts w:asciiTheme="minorHAnsi" w:hAnsiTheme="minorHAnsi"/>
          <w:color w:val="000000"/>
          <w:sz w:val="22"/>
          <w:szCs w:val="22"/>
          <w:lang w:val="en-GB" w:eastAsia="en-GB"/>
        </w:rPr>
        <w:t xml:space="preserve"> Academy- Youth Academy</w:t>
      </w:r>
    </w:p>
    <w:p w:rsidR="0053214D" w:rsidRPr="0053214D" w:rsidRDefault="0053214D" w:rsidP="0053214D">
      <w:pPr>
        <w:numPr>
          <w:ilvl w:val="0"/>
          <w:numId w:val="3"/>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Portman Group</w:t>
      </w:r>
    </w:p>
    <w:p w:rsidR="0053214D" w:rsidRPr="0053214D" w:rsidRDefault="0053214D" w:rsidP="0053214D">
      <w:pPr>
        <w:numPr>
          <w:ilvl w:val="0"/>
          <w:numId w:val="3"/>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STIVA (the Foundation for Responsible Alcohol Consumption)</w:t>
      </w:r>
    </w:p>
    <w:p w:rsidR="0053214D" w:rsidRPr="0053214D" w:rsidRDefault="0053214D" w:rsidP="0053214D">
      <w:pPr>
        <w:numPr>
          <w:ilvl w:val="0"/>
          <w:numId w:val="3"/>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Society for Alcohol and Social Policy Initiative</w:t>
      </w:r>
    </w:p>
    <w:p w:rsidR="0053214D" w:rsidRPr="0053214D" w:rsidRDefault="0053214D" w:rsidP="0053214D">
      <w:pPr>
        <w:numPr>
          <w:ilvl w:val="0"/>
          <w:numId w:val="3"/>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Taiwan Beverage Alcohol Forum</w:t>
      </w:r>
    </w:p>
    <w:p w:rsidR="0053214D" w:rsidRPr="0053214D" w:rsidRDefault="0053214D" w:rsidP="0053214D">
      <w:pPr>
        <w:numPr>
          <w:ilvl w:val="0"/>
          <w:numId w:val="3"/>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The Alcohol and Society Foundation</w:t>
      </w:r>
    </w:p>
    <w:p w:rsidR="0053214D" w:rsidRDefault="0053214D" w:rsidP="0053214D">
      <w:pPr>
        <w:numPr>
          <w:ilvl w:val="0"/>
          <w:numId w:val="3"/>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The Sense Group (TSG)</w:t>
      </w:r>
    </w:p>
    <w:p w:rsidR="0053214D" w:rsidRPr="0053214D" w:rsidRDefault="0053214D" w:rsidP="0053214D">
      <w:pPr>
        <w:ind w:left="720"/>
        <w:rPr>
          <w:rFonts w:asciiTheme="minorHAnsi" w:hAnsiTheme="minorHAnsi"/>
          <w:color w:val="000000"/>
          <w:sz w:val="22"/>
          <w:szCs w:val="22"/>
          <w:lang w:val="en-GB" w:eastAsia="en-GB"/>
        </w:rPr>
      </w:pPr>
    </w:p>
    <w:p w:rsidR="0053214D" w:rsidRPr="0053214D" w:rsidRDefault="0053214D" w:rsidP="0053214D">
      <w:pPr>
        <w:rPr>
          <w:rFonts w:asciiTheme="minorHAnsi" w:hAnsiTheme="minorHAnsi"/>
          <w:color w:val="000000"/>
          <w:sz w:val="22"/>
          <w:szCs w:val="22"/>
          <w:lang w:val="en-GB" w:eastAsia="en-GB"/>
        </w:rPr>
      </w:pPr>
      <w:r w:rsidRPr="0053214D">
        <w:rPr>
          <w:rFonts w:asciiTheme="minorHAnsi" w:hAnsiTheme="minorHAnsi"/>
          <w:b/>
          <w:bCs/>
          <w:color w:val="000000"/>
          <w:sz w:val="22"/>
          <w:szCs w:val="22"/>
          <w:lang w:val="en-GB" w:eastAsia="en-GB"/>
        </w:rPr>
        <w:t>University programs funded with industry support:</w:t>
      </w:r>
    </w:p>
    <w:p w:rsidR="0053214D" w:rsidRPr="0053214D" w:rsidRDefault="0053214D" w:rsidP="0053214D">
      <w:pPr>
        <w:numPr>
          <w:ilvl w:val="0"/>
          <w:numId w:val="4"/>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Boston University’s Institute on Lifestyle and Health</w:t>
      </w:r>
    </w:p>
    <w:p w:rsidR="0053214D" w:rsidRPr="0053214D" w:rsidRDefault="0053214D" w:rsidP="0053214D">
      <w:pPr>
        <w:numPr>
          <w:ilvl w:val="0"/>
          <w:numId w:val="4"/>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Harvard Institute for Research on Gambling Disorders</w:t>
      </w:r>
    </w:p>
    <w:p w:rsidR="0053214D" w:rsidRPr="0053214D" w:rsidRDefault="0053214D" w:rsidP="0053214D">
      <w:pPr>
        <w:numPr>
          <w:ilvl w:val="0"/>
          <w:numId w:val="4"/>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 xml:space="preserve">Univ. of California’s Ernest Gallo Clinic and Research </w:t>
      </w:r>
      <w:proofErr w:type="spellStart"/>
      <w:r w:rsidRPr="0053214D">
        <w:rPr>
          <w:rFonts w:asciiTheme="minorHAnsi" w:hAnsiTheme="minorHAnsi"/>
          <w:color w:val="000000"/>
          <w:sz w:val="22"/>
          <w:szCs w:val="22"/>
          <w:lang w:val="en-GB" w:eastAsia="en-GB"/>
        </w:rPr>
        <w:t>Center</w:t>
      </w:r>
      <w:proofErr w:type="spellEnd"/>
    </w:p>
    <w:p w:rsidR="0053214D" w:rsidRDefault="0053214D" w:rsidP="0053214D">
      <w:pPr>
        <w:numPr>
          <w:ilvl w:val="0"/>
          <w:numId w:val="4"/>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University College Dublin’s Geary Institute</w:t>
      </w:r>
    </w:p>
    <w:p w:rsidR="0053214D" w:rsidRPr="0053214D" w:rsidRDefault="0053214D" w:rsidP="0053214D">
      <w:pPr>
        <w:ind w:left="720"/>
        <w:rPr>
          <w:rFonts w:asciiTheme="minorHAnsi" w:hAnsiTheme="minorHAnsi"/>
          <w:color w:val="000000"/>
          <w:sz w:val="22"/>
          <w:szCs w:val="22"/>
          <w:lang w:val="en-GB" w:eastAsia="en-GB"/>
        </w:rPr>
      </w:pPr>
    </w:p>
    <w:p w:rsidR="0053214D" w:rsidRPr="0053214D" w:rsidRDefault="0053214D" w:rsidP="0053214D">
      <w:pPr>
        <w:rPr>
          <w:rFonts w:asciiTheme="minorHAnsi" w:hAnsiTheme="minorHAnsi"/>
          <w:color w:val="000000"/>
          <w:sz w:val="22"/>
          <w:szCs w:val="22"/>
          <w:lang w:val="en-GB" w:eastAsia="en-GB"/>
        </w:rPr>
      </w:pPr>
      <w:r w:rsidRPr="0053214D">
        <w:rPr>
          <w:rFonts w:asciiTheme="minorHAnsi" w:hAnsiTheme="minorHAnsi"/>
          <w:b/>
          <w:bCs/>
          <w:color w:val="000000"/>
          <w:sz w:val="22"/>
          <w:szCs w:val="22"/>
          <w:lang w:val="en-GB" w:eastAsia="en-GB"/>
        </w:rPr>
        <w:t>Research funding organizations:</w:t>
      </w:r>
    </w:p>
    <w:p w:rsidR="0053214D" w:rsidRPr="0053214D" w:rsidRDefault="0053214D" w:rsidP="0053214D">
      <w:pPr>
        <w:numPr>
          <w:ilvl w:val="0"/>
          <w:numId w:val="5"/>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ABMRF Foundation for Alcohol Research (http://www.abmrf.org/unique_partnership.asp)</w:t>
      </w:r>
    </w:p>
    <w:p w:rsidR="0053214D" w:rsidRPr="0053214D" w:rsidRDefault="0053214D" w:rsidP="0053214D">
      <w:pPr>
        <w:numPr>
          <w:ilvl w:val="0"/>
          <w:numId w:val="5"/>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Alcohol in Moderation (AIM)</w:t>
      </w:r>
    </w:p>
    <w:p w:rsidR="0053214D" w:rsidRPr="0053214D" w:rsidRDefault="0053214D" w:rsidP="0053214D">
      <w:pPr>
        <w:numPr>
          <w:ilvl w:val="0"/>
          <w:numId w:val="5"/>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Australian Wine Research Institute</w:t>
      </w:r>
    </w:p>
    <w:p w:rsidR="0053214D" w:rsidRPr="0053214D" w:rsidRDefault="0053214D" w:rsidP="0053214D">
      <w:pPr>
        <w:numPr>
          <w:ilvl w:val="0"/>
          <w:numId w:val="5"/>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Brewing Research International (</w:t>
      </w:r>
      <w:proofErr w:type="spellStart"/>
      <w:r w:rsidRPr="0053214D">
        <w:rPr>
          <w:rFonts w:asciiTheme="minorHAnsi" w:hAnsiTheme="minorHAnsi"/>
          <w:color w:val="000000"/>
          <w:sz w:val="22"/>
          <w:szCs w:val="22"/>
          <w:lang w:val="en-GB" w:eastAsia="en-GB"/>
        </w:rPr>
        <w:t>BRi</w:t>
      </w:r>
      <w:proofErr w:type="spellEnd"/>
      <w:r w:rsidRPr="0053214D">
        <w:rPr>
          <w:rFonts w:asciiTheme="minorHAnsi" w:hAnsiTheme="minorHAnsi"/>
          <w:color w:val="000000"/>
          <w:sz w:val="22"/>
          <w:szCs w:val="22"/>
          <w:lang w:val="en-GB" w:eastAsia="en-GB"/>
        </w:rPr>
        <w:t>)</w:t>
      </w:r>
    </w:p>
    <w:p w:rsidR="0053214D" w:rsidRPr="0053214D" w:rsidRDefault="0053214D" w:rsidP="0053214D">
      <w:pPr>
        <w:numPr>
          <w:ilvl w:val="0"/>
          <w:numId w:val="5"/>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California Wine Institute</w:t>
      </w:r>
    </w:p>
    <w:p w:rsidR="0053214D" w:rsidRPr="0053214D" w:rsidRDefault="0053214D" w:rsidP="0053214D">
      <w:pPr>
        <w:numPr>
          <w:ilvl w:val="0"/>
          <w:numId w:val="5"/>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Harvard Institute for Research on Gambling Disorders</w:t>
      </w:r>
    </w:p>
    <w:p w:rsidR="0053214D" w:rsidRPr="0053214D" w:rsidRDefault="0053214D" w:rsidP="0053214D">
      <w:pPr>
        <w:numPr>
          <w:ilvl w:val="0"/>
          <w:numId w:val="5"/>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Institute for Science and Health</w:t>
      </w:r>
    </w:p>
    <w:p w:rsidR="0053214D" w:rsidRPr="0053214D" w:rsidRDefault="0053214D" w:rsidP="0053214D">
      <w:pPr>
        <w:numPr>
          <w:ilvl w:val="0"/>
          <w:numId w:val="5"/>
        </w:numPr>
        <w:rPr>
          <w:rFonts w:asciiTheme="minorHAnsi" w:hAnsiTheme="minorHAnsi"/>
          <w:color w:val="000000"/>
          <w:sz w:val="22"/>
          <w:szCs w:val="22"/>
          <w:lang w:val="en-GB" w:eastAsia="en-GB"/>
        </w:rPr>
      </w:pPr>
      <w:proofErr w:type="spellStart"/>
      <w:r w:rsidRPr="0053214D">
        <w:rPr>
          <w:rFonts w:asciiTheme="minorHAnsi" w:hAnsiTheme="minorHAnsi"/>
          <w:color w:val="000000"/>
          <w:sz w:val="22"/>
          <w:szCs w:val="22"/>
          <w:lang w:val="en-GB" w:eastAsia="en-GB"/>
        </w:rPr>
        <w:t>Institut</w:t>
      </w:r>
      <w:proofErr w:type="spellEnd"/>
      <w:r w:rsidRPr="0053214D">
        <w:rPr>
          <w:rFonts w:asciiTheme="minorHAnsi" w:hAnsiTheme="minorHAnsi"/>
          <w:color w:val="000000"/>
          <w:sz w:val="22"/>
          <w:szCs w:val="22"/>
          <w:lang w:val="en-GB" w:eastAsia="en-GB"/>
        </w:rPr>
        <w:t xml:space="preserve"> de </w:t>
      </w:r>
      <w:proofErr w:type="spellStart"/>
      <w:r w:rsidRPr="0053214D">
        <w:rPr>
          <w:rFonts w:asciiTheme="minorHAnsi" w:hAnsiTheme="minorHAnsi"/>
          <w:color w:val="000000"/>
          <w:sz w:val="22"/>
          <w:szCs w:val="22"/>
          <w:lang w:val="en-GB" w:eastAsia="en-GB"/>
        </w:rPr>
        <w:t>Recherches</w:t>
      </w:r>
      <w:proofErr w:type="spellEnd"/>
      <w:r w:rsidRPr="0053214D">
        <w:rPr>
          <w:rFonts w:asciiTheme="minorHAnsi" w:hAnsiTheme="minorHAnsi"/>
          <w:color w:val="000000"/>
          <w:sz w:val="22"/>
          <w:szCs w:val="22"/>
          <w:lang w:val="en-GB" w:eastAsia="en-GB"/>
        </w:rPr>
        <w:t xml:space="preserve"> </w:t>
      </w:r>
      <w:proofErr w:type="spellStart"/>
      <w:r w:rsidRPr="0053214D">
        <w:rPr>
          <w:rFonts w:asciiTheme="minorHAnsi" w:hAnsiTheme="minorHAnsi"/>
          <w:color w:val="000000"/>
          <w:sz w:val="22"/>
          <w:szCs w:val="22"/>
          <w:lang w:val="en-GB" w:eastAsia="en-GB"/>
        </w:rPr>
        <w:t>Scientifiques</w:t>
      </w:r>
      <w:proofErr w:type="spellEnd"/>
      <w:r w:rsidRPr="0053214D">
        <w:rPr>
          <w:rFonts w:asciiTheme="minorHAnsi" w:hAnsiTheme="minorHAnsi"/>
          <w:color w:val="000000"/>
          <w:sz w:val="22"/>
          <w:szCs w:val="22"/>
          <w:lang w:val="en-GB" w:eastAsia="en-GB"/>
        </w:rPr>
        <w:t xml:space="preserve"> sur les </w:t>
      </w:r>
      <w:proofErr w:type="spellStart"/>
      <w:r w:rsidRPr="0053214D">
        <w:rPr>
          <w:rFonts w:asciiTheme="minorHAnsi" w:hAnsiTheme="minorHAnsi"/>
          <w:color w:val="000000"/>
          <w:sz w:val="22"/>
          <w:szCs w:val="22"/>
          <w:lang w:val="en-GB" w:eastAsia="en-GB"/>
        </w:rPr>
        <w:t>Boissons</w:t>
      </w:r>
      <w:proofErr w:type="spellEnd"/>
      <w:r w:rsidRPr="0053214D">
        <w:rPr>
          <w:rFonts w:asciiTheme="minorHAnsi" w:hAnsiTheme="minorHAnsi"/>
          <w:color w:val="000000"/>
          <w:sz w:val="22"/>
          <w:szCs w:val="22"/>
          <w:lang w:val="en-GB" w:eastAsia="en-GB"/>
        </w:rPr>
        <w:t xml:space="preserve"> (IREB)</w:t>
      </w:r>
    </w:p>
    <w:p w:rsidR="0053214D" w:rsidRPr="0053214D" w:rsidRDefault="0053214D" w:rsidP="0053214D">
      <w:pPr>
        <w:numPr>
          <w:ilvl w:val="0"/>
          <w:numId w:val="5"/>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Foundation for Alcohol Research (SAR)</w:t>
      </w:r>
    </w:p>
    <w:p w:rsidR="0053214D" w:rsidRPr="0053214D" w:rsidRDefault="0053214D" w:rsidP="0053214D">
      <w:pPr>
        <w:numPr>
          <w:ilvl w:val="0"/>
          <w:numId w:val="5"/>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Foundation for Lung Cancer: Early Detection, Prevention and Treatment</w:t>
      </w:r>
    </w:p>
    <w:p w:rsidR="0053214D" w:rsidRPr="0053214D" w:rsidRDefault="0053214D" w:rsidP="0053214D">
      <w:pPr>
        <w:numPr>
          <w:ilvl w:val="0"/>
          <w:numId w:val="5"/>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International Life Sciences Institute (ILSI)</w:t>
      </w:r>
    </w:p>
    <w:p w:rsidR="0053214D" w:rsidRPr="0053214D" w:rsidRDefault="0053214D" w:rsidP="0053214D">
      <w:pPr>
        <w:numPr>
          <w:ilvl w:val="0"/>
          <w:numId w:val="5"/>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International Scientific Forum on Alcohol Research (ISFAR)</w:t>
      </w:r>
    </w:p>
    <w:p w:rsidR="0053214D" w:rsidRPr="0053214D" w:rsidRDefault="0053214D" w:rsidP="0053214D">
      <w:pPr>
        <w:numPr>
          <w:ilvl w:val="0"/>
          <w:numId w:val="5"/>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 xml:space="preserve">The National </w:t>
      </w:r>
      <w:proofErr w:type="spellStart"/>
      <w:r w:rsidRPr="0053214D">
        <w:rPr>
          <w:rFonts w:asciiTheme="minorHAnsi" w:hAnsiTheme="minorHAnsi"/>
          <w:color w:val="000000"/>
          <w:sz w:val="22"/>
          <w:szCs w:val="22"/>
          <w:lang w:val="en-GB" w:eastAsia="en-GB"/>
        </w:rPr>
        <w:t>Center</w:t>
      </w:r>
      <w:proofErr w:type="spellEnd"/>
      <w:r w:rsidRPr="0053214D">
        <w:rPr>
          <w:rFonts w:asciiTheme="minorHAnsi" w:hAnsiTheme="minorHAnsi"/>
          <w:color w:val="000000"/>
          <w:sz w:val="22"/>
          <w:szCs w:val="22"/>
          <w:lang w:val="en-GB" w:eastAsia="en-GB"/>
        </w:rPr>
        <w:t xml:space="preserve"> for Responsible Gaming (NCRG)</w:t>
      </w:r>
    </w:p>
    <w:p w:rsidR="0053214D" w:rsidRPr="0053214D" w:rsidRDefault="0053214D" w:rsidP="0053214D">
      <w:pPr>
        <w:numPr>
          <w:ilvl w:val="0"/>
          <w:numId w:val="5"/>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National Council on Problem Gambling (NCPG)</w:t>
      </w:r>
    </w:p>
    <w:p w:rsidR="0053214D" w:rsidRPr="0053214D" w:rsidRDefault="0053214D" w:rsidP="0053214D">
      <w:pPr>
        <w:numPr>
          <w:ilvl w:val="0"/>
          <w:numId w:val="5"/>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Social Issues Research Centre (SIRC)</w:t>
      </w:r>
    </w:p>
    <w:p w:rsidR="0053214D" w:rsidRPr="0053214D" w:rsidRDefault="0053214D" w:rsidP="0053214D">
      <w:pPr>
        <w:rPr>
          <w:rFonts w:asciiTheme="minorHAnsi" w:hAnsiTheme="minorHAnsi"/>
          <w:color w:val="000000"/>
          <w:sz w:val="22"/>
          <w:szCs w:val="22"/>
          <w:lang w:val="en-GB" w:eastAsia="en-GB"/>
        </w:rPr>
      </w:pPr>
      <w:r w:rsidRPr="0053214D">
        <w:rPr>
          <w:rFonts w:asciiTheme="minorHAnsi" w:hAnsiTheme="minorHAnsi"/>
          <w:b/>
          <w:bCs/>
          <w:color w:val="000000"/>
          <w:sz w:val="22"/>
          <w:szCs w:val="22"/>
          <w:lang w:val="en-GB" w:eastAsia="en-GB"/>
        </w:rPr>
        <w:t> </w:t>
      </w:r>
    </w:p>
    <w:p w:rsidR="0053214D" w:rsidRDefault="0053214D">
      <w:pPr>
        <w:spacing w:after="200" w:line="276" w:lineRule="auto"/>
        <w:rPr>
          <w:rFonts w:asciiTheme="minorHAnsi" w:hAnsiTheme="minorHAnsi"/>
          <w:b/>
          <w:bCs/>
          <w:color w:val="000000"/>
          <w:sz w:val="22"/>
          <w:szCs w:val="22"/>
          <w:lang w:val="en-GB" w:eastAsia="en-GB"/>
        </w:rPr>
      </w:pPr>
      <w:r>
        <w:rPr>
          <w:rFonts w:asciiTheme="minorHAnsi" w:hAnsiTheme="minorHAnsi"/>
          <w:b/>
          <w:bCs/>
          <w:color w:val="000000"/>
          <w:sz w:val="22"/>
          <w:szCs w:val="22"/>
          <w:lang w:val="en-GB" w:eastAsia="en-GB"/>
        </w:rPr>
        <w:br w:type="page"/>
      </w:r>
    </w:p>
    <w:p w:rsidR="0053214D" w:rsidRPr="0053214D" w:rsidRDefault="0053214D" w:rsidP="0053214D">
      <w:pPr>
        <w:rPr>
          <w:rFonts w:asciiTheme="minorHAnsi" w:hAnsiTheme="minorHAnsi"/>
          <w:color w:val="000000"/>
          <w:sz w:val="22"/>
          <w:szCs w:val="22"/>
          <w:lang w:val="en-GB" w:eastAsia="en-GB"/>
        </w:rPr>
      </w:pPr>
      <w:r w:rsidRPr="0053214D">
        <w:rPr>
          <w:rFonts w:asciiTheme="minorHAnsi" w:hAnsiTheme="minorHAnsi"/>
          <w:b/>
          <w:bCs/>
          <w:color w:val="000000"/>
          <w:sz w:val="22"/>
          <w:szCs w:val="22"/>
          <w:lang w:val="en-GB" w:eastAsia="en-GB"/>
        </w:rPr>
        <w:lastRenderedPageBreak/>
        <w:t>Companies:</w:t>
      </w:r>
    </w:p>
    <w:p w:rsidR="0053214D" w:rsidRPr="0053214D" w:rsidRDefault="0053214D" w:rsidP="0053214D">
      <w:pPr>
        <w:numPr>
          <w:ilvl w:val="0"/>
          <w:numId w:val="6"/>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Altria</w:t>
      </w:r>
    </w:p>
    <w:p w:rsidR="0053214D" w:rsidRPr="0053214D" w:rsidRDefault="0053214D" w:rsidP="0053214D">
      <w:pPr>
        <w:numPr>
          <w:ilvl w:val="0"/>
          <w:numId w:val="6"/>
        </w:numPr>
        <w:rPr>
          <w:rFonts w:asciiTheme="minorHAnsi" w:hAnsiTheme="minorHAnsi"/>
          <w:color w:val="000000"/>
          <w:sz w:val="22"/>
          <w:szCs w:val="22"/>
          <w:lang w:val="en-GB" w:eastAsia="en-GB"/>
        </w:rPr>
      </w:pPr>
      <w:proofErr w:type="spellStart"/>
      <w:r w:rsidRPr="0053214D">
        <w:rPr>
          <w:rFonts w:asciiTheme="minorHAnsi" w:hAnsiTheme="minorHAnsi"/>
          <w:color w:val="000000"/>
          <w:sz w:val="22"/>
          <w:szCs w:val="22"/>
          <w:lang w:val="en-GB" w:eastAsia="en-GB"/>
        </w:rPr>
        <w:t>Aradigm</w:t>
      </w:r>
      <w:proofErr w:type="spellEnd"/>
      <w:r w:rsidRPr="0053214D">
        <w:rPr>
          <w:rFonts w:asciiTheme="minorHAnsi" w:hAnsiTheme="minorHAnsi"/>
          <w:color w:val="000000"/>
          <w:sz w:val="22"/>
          <w:szCs w:val="22"/>
          <w:lang w:val="en-GB" w:eastAsia="en-GB"/>
        </w:rPr>
        <w:t xml:space="preserve"> Corp</w:t>
      </w:r>
    </w:p>
    <w:p w:rsidR="0053214D" w:rsidRPr="0053214D" w:rsidRDefault="0053214D" w:rsidP="0053214D">
      <w:pPr>
        <w:numPr>
          <w:ilvl w:val="0"/>
          <w:numId w:val="6"/>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Boyd Gaming</w:t>
      </w:r>
    </w:p>
    <w:p w:rsidR="0053214D" w:rsidRPr="0053214D" w:rsidRDefault="0053214D" w:rsidP="0053214D">
      <w:pPr>
        <w:numPr>
          <w:ilvl w:val="0"/>
          <w:numId w:val="6"/>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British American Tobacco (BAT)</w:t>
      </w:r>
    </w:p>
    <w:p w:rsidR="0053214D" w:rsidRPr="0053214D" w:rsidRDefault="0053214D" w:rsidP="0053214D">
      <w:pPr>
        <w:numPr>
          <w:ilvl w:val="0"/>
          <w:numId w:val="6"/>
        </w:numPr>
        <w:rPr>
          <w:rFonts w:asciiTheme="minorHAnsi" w:hAnsiTheme="minorHAnsi"/>
          <w:color w:val="000000"/>
          <w:sz w:val="22"/>
          <w:szCs w:val="22"/>
          <w:lang w:val="en-GB" w:eastAsia="en-GB"/>
        </w:rPr>
      </w:pPr>
      <w:proofErr w:type="spellStart"/>
      <w:r w:rsidRPr="0053214D">
        <w:rPr>
          <w:rFonts w:asciiTheme="minorHAnsi" w:hAnsiTheme="minorHAnsi"/>
          <w:color w:val="000000"/>
          <w:sz w:val="22"/>
          <w:szCs w:val="22"/>
          <w:lang w:val="en-GB" w:eastAsia="en-GB"/>
        </w:rPr>
        <w:t>Companhia</w:t>
      </w:r>
      <w:proofErr w:type="spellEnd"/>
      <w:r w:rsidRPr="0053214D">
        <w:rPr>
          <w:rFonts w:asciiTheme="minorHAnsi" w:hAnsiTheme="minorHAnsi"/>
          <w:color w:val="000000"/>
          <w:sz w:val="22"/>
          <w:szCs w:val="22"/>
          <w:lang w:val="en-GB" w:eastAsia="en-GB"/>
        </w:rPr>
        <w:t xml:space="preserve"> de </w:t>
      </w:r>
      <w:proofErr w:type="spellStart"/>
      <w:r w:rsidRPr="0053214D">
        <w:rPr>
          <w:rFonts w:asciiTheme="minorHAnsi" w:hAnsiTheme="minorHAnsi"/>
          <w:color w:val="000000"/>
          <w:sz w:val="22"/>
          <w:szCs w:val="22"/>
          <w:lang w:val="en-GB" w:eastAsia="en-GB"/>
        </w:rPr>
        <w:t>Bebidas</w:t>
      </w:r>
      <w:proofErr w:type="spellEnd"/>
      <w:r w:rsidRPr="0053214D">
        <w:rPr>
          <w:rFonts w:asciiTheme="minorHAnsi" w:hAnsiTheme="minorHAnsi"/>
          <w:color w:val="000000"/>
          <w:sz w:val="22"/>
          <w:szCs w:val="22"/>
          <w:lang w:val="en-GB" w:eastAsia="en-GB"/>
        </w:rPr>
        <w:t xml:space="preserve"> das </w:t>
      </w:r>
      <w:proofErr w:type="spellStart"/>
      <w:r w:rsidRPr="0053214D">
        <w:rPr>
          <w:rFonts w:asciiTheme="minorHAnsi" w:hAnsiTheme="minorHAnsi"/>
          <w:color w:val="000000"/>
          <w:sz w:val="22"/>
          <w:szCs w:val="22"/>
          <w:lang w:val="en-GB" w:eastAsia="en-GB"/>
        </w:rPr>
        <w:t>Américas</w:t>
      </w:r>
      <w:proofErr w:type="spellEnd"/>
      <w:r w:rsidRPr="0053214D">
        <w:rPr>
          <w:rFonts w:asciiTheme="minorHAnsi" w:hAnsiTheme="minorHAnsi"/>
          <w:color w:val="000000"/>
          <w:sz w:val="22"/>
          <w:szCs w:val="22"/>
          <w:lang w:val="en-GB" w:eastAsia="en-GB"/>
        </w:rPr>
        <w:t xml:space="preserve"> (AMBEV)</w:t>
      </w:r>
    </w:p>
    <w:p w:rsidR="0053214D" w:rsidRPr="0053214D" w:rsidRDefault="0053214D" w:rsidP="0053214D">
      <w:pPr>
        <w:numPr>
          <w:ilvl w:val="0"/>
          <w:numId w:val="6"/>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Diageo</w:t>
      </w:r>
    </w:p>
    <w:p w:rsidR="0053214D" w:rsidRPr="0053214D" w:rsidRDefault="0053214D" w:rsidP="0053214D">
      <w:pPr>
        <w:numPr>
          <w:ilvl w:val="0"/>
          <w:numId w:val="6"/>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GlaxoSmithKline</w:t>
      </w:r>
    </w:p>
    <w:p w:rsidR="0053214D" w:rsidRPr="0053214D" w:rsidRDefault="0053214D" w:rsidP="0053214D">
      <w:pPr>
        <w:numPr>
          <w:ilvl w:val="0"/>
          <w:numId w:val="6"/>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Harrah’s Entertainment</w:t>
      </w:r>
    </w:p>
    <w:p w:rsidR="0053214D" w:rsidRPr="0053214D" w:rsidRDefault="0053214D" w:rsidP="0053214D">
      <w:pPr>
        <w:numPr>
          <w:ilvl w:val="0"/>
          <w:numId w:val="6"/>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Lorillard</w:t>
      </w:r>
    </w:p>
    <w:p w:rsidR="0053214D" w:rsidRPr="0053214D" w:rsidRDefault="0053214D" w:rsidP="0053214D">
      <w:pPr>
        <w:numPr>
          <w:ilvl w:val="0"/>
          <w:numId w:val="6"/>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MGM Resorts</w:t>
      </w:r>
    </w:p>
    <w:p w:rsidR="0053214D" w:rsidRPr="0053214D" w:rsidRDefault="0053214D" w:rsidP="0053214D">
      <w:pPr>
        <w:numPr>
          <w:ilvl w:val="0"/>
          <w:numId w:val="6"/>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Phillip Morris</w:t>
      </w:r>
    </w:p>
    <w:p w:rsidR="0053214D" w:rsidRPr="0053214D" w:rsidRDefault="0053214D" w:rsidP="0053214D">
      <w:pPr>
        <w:numPr>
          <w:ilvl w:val="0"/>
          <w:numId w:val="6"/>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Purdue Pharma</w:t>
      </w:r>
    </w:p>
    <w:p w:rsidR="0053214D" w:rsidRPr="0053214D" w:rsidRDefault="0053214D" w:rsidP="0053214D">
      <w:pPr>
        <w:numPr>
          <w:ilvl w:val="0"/>
          <w:numId w:val="6"/>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 xml:space="preserve">R.J. </w:t>
      </w:r>
      <w:proofErr w:type="spellStart"/>
      <w:r w:rsidRPr="0053214D">
        <w:rPr>
          <w:rFonts w:asciiTheme="minorHAnsi" w:hAnsiTheme="minorHAnsi"/>
          <w:color w:val="000000"/>
          <w:sz w:val="22"/>
          <w:szCs w:val="22"/>
          <w:lang w:val="en-GB" w:eastAsia="en-GB"/>
        </w:rPr>
        <w:t>Renyolds</w:t>
      </w:r>
      <w:proofErr w:type="spellEnd"/>
    </w:p>
    <w:p w:rsidR="0053214D" w:rsidRDefault="0053214D" w:rsidP="0053214D">
      <w:pPr>
        <w:numPr>
          <w:ilvl w:val="0"/>
          <w:numId w:val="6"/>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SAB Miller</w:t>
      </w:r>
    </w:p>
    <w:p w:rsidR="0053214D" w:rsidRPr="0053214D" w:rsidRDefault="0053214D" w:rsidP="0053214D">
      <w:pPr>
        <w:numPr>
          <w:ilvl w:val="0"/>
          <w:numId w:val="6"/>
        </w:numPr>
        <w:rPr>
          <w:rFonts w:asciiTheme="minorHAnsi" w:hAnsiTheme="minorHAnsi"/>
          <w:color w:val="000000"/>
          <w:sz w:val="22"/>
          <w:szCs w:val="22"/>
          <w:lang w:val="en-GB" w:eastAsia="en-GB"/>
        </w:rPr>
      </w:pPr>
    </w:p>
    <w:p w:rsidR="0053214D" w:rsidRPr="0053214D" w:rsidRDefault="0053214D" w:rsidP="0053214D">
      <w:pPr>
        <w:rPr>
          <w:rFonts w:asciiTheme="minorHAnsi" w:hAnsiTheme="minorHAnsi"/>
          <w:color w:val="000000"/>
          <w:sz w:val="22"/>
          <w:szCs w:val="22"/>
          <w:lang w:val="en-GB" w:eastAsia="en-GB"/>
        </w:rPr>
      </w:pPr>
      <w:r w:rsidRPr="0053214D">
        <w:rPr>
          <w:rFonts w:asciiTheme="minorHAnsi" w:hAnsiTheme="minorHAnsi"/>
          <w:b/>
          <w:bCs/>
          <w:color w:val="000000"/>
          <w:sz w:val="22"/>
          <w:szCs w:val="22"/>
          <w:lang w:val="en-GB" w:eastAsia="en-GB"/>
        </w:rPr>
        <w:t>Trade Associations:</w:t>
      </w:r>
    </w:p>
    <w:p w:rsidR="0053214D" w:rsidRPr="0053214D" w:rsidRDefault="0053214D" w:rsidP="0053214D">
      <w:pPr>
        <w:numPr>
          <w:ilvl w:val="0"/>
          <w:numId w:val="7"/>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Brewers of Europe</w:t>
      </w:r>
    </w:p>
    <w:p w:rsidR="0053214D" w:rsidRPr="0053214D" w:rsidRDefault="0053214D" w:rsidP="0053214D">
      <w:pPr>
        <w:numPr>
          <w:ilvl w:val="0"/>
          <w:numId w:val="7"/>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Beer Institute</w:t>
      </w:r>
    </w:p>
    <w:p w:rsidR="0053214D" w:rsidRPr="0053214D" w:rsidRDefault="0053214D" w:rsidP="0053214D">
      <w:pPr>
        <w:numPr>
          <w:ilvl w:val="0"/>
          <w:numId w:val="7"/>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Distilled Spirits Council of the United States (DISCUS)</w:t>
      </w:r>
    </w:p>
    <w:p w:rsidR="0053214D" w:rsidRPr="0053214D" w:rsidRDefault="0053214D" w:rsidP="0053214D">
      <w:pPr>
        <w:numPr>
          <w:ilvl w:val="0"/>
          <w:numId w:val="7"/>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Global Alcohol Producers Group</w:t>
      </w:r>
    </w:p>
    <w:p w:rsidR="0053214D" w:rsidRPr="0053214D" w:rsidRDefault="0053214D" w:rsidP="0053214D">
      <w:pPr>
        <w:numPr>
          <w:ilvl w:val="0"/>
          <w:numId w:val="7"/>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Wine and Spirit Trade Association</w:t>
      </w:r>
    </w:p>
    <w:p w:rsidR="0053214D" w:rsidRPr="0053214D" w:rsidRDefault="0053214D" w:rsidP="0053214D">
      <w:pPr>
        <w:numPr>
          <w:ilvl w:val="0"/>
          <w:numId w:val="7"/>
        </w:numPr>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Worldwide Brewing Alliance</w:t>
      </w:r>
    </w:p>
    <w:p w:rsidR="0053214D" w:rsidRPr="0053214D" w:rsidRDefault="0053214D" w:rsidP="0053214D">
      <w:pPr>
        <w:spacing w:before="100" w:beforeAutospacing="1" w:after="100" w:afterAutospacing="1"/>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 </w:t>
      </w:r>
    </w:p>
    <w:p w:rsidR="0053214D" w:rsidRPr="0053214D" w:rsidRDefault="0053214D" w:rsidP="0053214D">
      <w:pPr>
        <w:spacing w:before="100" w:beforeAutospacing="1" w:after="100" w:afterAutospacing="1"/>
        <w:rPr>
          <w:rFonts w:asciiTheme="minorHAnsi" w:hAnsiTheme="minorHAnsi"/>
          <w:color w:val="000000"/>
          <w:sz w:val="22"/>
          <w:szCs w:val="22"/>
          <w:lang w:val="en-GB" w:eastAsia="en-GB"/>
        </w:rPr>
      </w:pPr>
      <w:r w:rsidRPr="0053214D">
        <w:rPr>
          <w:rFonts w:asciiTheme="minorHAnsi" w:hAnsiTheme="minorHAnsi"/>
          <w:color w:val="000000"/>
          <w:sz w:val="22"/>
          <w:szCs w:val="22"/>
          <w:lang w:val="en-GB" w:eastAsia="en-GB"/>
        </w:rPr>
        <w:t>*This list is not a complete list of all organizations that present a real or apparent conflict of interest.</w:t>
      </w:r>
    </w:p>
    <w:p w:rsidR="009E41BA" w:rsidRPr="0053214D" w:rsidRDefault="009E41BA" w:rsidP="009E41BA">
      <w:pPr>
        <w:pStyle w:val="NormalWeb"/>
        <w:rPr>
          <w:rFonts w:asciiTheme="minorHAnsi" w:hAnsiTheme="minorHAnsi"/>
          <w:sz w:val="22"/>
          <w:szCs w:val="22"/>
        </w:rPr>
      </w:pPr>
    </w:p>
    <w:sectPr w:rsidR="009E41BA" w:rsidRPr="0053214D" w:rsidSect="005017EE">
      <w:pgSz w:w="11907" w:h="16839" w:code="9"/>
      <w:pgMar w:top="1138" w:right="1411"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273"/>
    <w:multiLevelType w:val="multilevel"/>
    <w:tmpl w:val="B9AC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00284"/>
    <w:multiLevelType w:val="multilevel"/>
    <w:tmpl w:val="45EA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D4C12"/>
    <w:multiLevelType w:val="multilevel"/>
    <w:tmpl w:val="0F92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2D2412"/>
    <w:multiLevelType w:val="multilevel"/>
    <w:tmpl w:val="12F2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47E04"/>
    <w:multiLevelType w:val="multilevel"/>
    <w:tmpl w:val="8708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13471"/>
    <w:multiLevelType w:val="multilevel"/>
    <w:tmpl w:val="3146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3D1A2F"/>
    <w:multiLevelType w:val="multilevel"/>
    <w:tmpl w:val="67C0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2"/>
  </w:compat>
  <w:rsids>
    <w:rsidRoot w:val="009E41BA"/>
    <w:rsid w:val="00040A63"/>
    <w:rsid w:val="00104298"/>
    <w:rsid w:val="00134396"/>
    <w:rsid w:val="001A2632"/>
    <w:rsid w:val="001B2C90"/>
    <w:rsid w:val="001C1A3F"/>
    <w:rsid w:val="00207E85"/>
    <w:rsid w:val="00254983"/>
    <w:rsid w:val="00291C80"/>
    <w:rsid w:val="00314194"/>
    <w:rsid w:val="005017EE"/>
    <w:rsid w:val="0053214D"/>
    <w:rsid w:val="00534CA5"/>
    <w:rsid w:val="005600DE"/>
    <w:rsid w:val="00560B68"/>
    <w:rsid w:val="00586549"/>
    <w:rsid w:val="005C316A"/>
    <w:rsid w:val="005E085E"/>
    <w:rsid w:val="006A54FA"/>
    <w:rsid w:val="006B1ED4"/>
    <w:rsid w:val="006B67CA"/>
    <w:rsid w:val="006C60BF"/>
    <w:rsid w:val="00702353"/>
    <w:rsid w:val="00776545"/>
    <w:rsid w:val="007D3325"/>
    <w:rsid w:val="00830978"/>
    <w:rsid w:val="00883F19"/>
    <w:rsid w:val="00982B9B"/>
    <w:rsid w:val="009A7C8E"/>
    <w:rsid w:val="009E41BA"/>
    <w:rsid w:val="00A56F97"/>
    <w:rsid w:val="00A849B0"/>
    <w:rsid w:val="00AC53DD"/>
    <w:rsid w:val="00AF5694"/>
    <w:rsid w:val="00B12CC7"/>
    <w:rsid w:val="00B15F47"/>
    <w:rsid w:val="00B44C54"/>
    <w:rsid w:val="00B81CBC"/>
    <w:rsid w:val="00C47493"/>
    <w:rsid w:val="00CD30DD"/>
    <w:rsid w:val="00DB5025"/>
    <w:rsid w:val="00DE4CE2"/>
    <w:rsid w:val="00DF54F0"/>
    <w:rsid w:val="00E34362"/>
    <w:rsid w:val="00E96591"/>
    <w:rsid w:val="00E97ADC"/>
    <w:rsid w:val="00F8149B"/>
    <w:rsid w:val="00FF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ACDEC-D450-41F2-8F8D-CD2F867D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BA"/>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41BA"/>
    <w:pPr>
      <w:spacing w:after="100" w:afterAutospacing="1"/>
    </w:pPr>
    <w:rPr>
      <w:rFonts w:ascii="Arial" w:hAnsi="Arial" w:cs="Arial"/>
      <w:sz w:val="18"/>
      <w:szCs w:val="18"/>
      <w:lang w:val="en-US"/>
    </w:rPr>
  </w:style>
  <w:style w:type="character" w:styleId="Strong">
    <w:name w:val="Strong"/>
    <w:basedOn w:val="DefaultParagraphFont"/>
    <w:uiPriority w:val="22"/>
    <w:qFormat/>
    <w:rsid w:val="009E41BA"/>
    <w:rPr>
      <w:b/>
      <w:bCs/>
    </w:rPr>
  </w:style>
  <w:style w:type="character" w:styleId="Hyperlink">
    <w:name w:val="Hyperlink"/>
    <w:basedOn w:val="DefaultParagraphFont"/>
    <w:rsid w:val="009E41BA"/>
    <w:rPr>
      <w:strike w:val="0"/>
      <w:dstrike w:val="0"/>
      <w:color w:val="006990"/>
      <w:u w:val="none"/>
      <w:effect w:val="none"/>
    </w:rPr>
  </w:style>
  <w:style w:type="paragraph" w:styleId="ListParagraph">
    <w:name w:val="List Paragraph"/>
    <w:basedOn w:val="Normal"/>
    <w:uiPriority w:val="34"/>
    <w:qFormat/>
    <w:rsid w:val="009E41BA"/>
    <w:pPr>
      <w:ind w:left="720"/>
      <w:contextualSpacing/>
    </w:pPr>
  </w:style>
  <w:style w:type="character" w:styleId="CommentReference">
    <w:name w:val="annotation reference"/>
    <w:basedOn w:val="DefaultParagraphFont"/>
    <w:uiPriority w:val="99"/>
    <w:semiHidden/>
    <w:unhideWhenUsed/>
    <w:rsid w:val="007D3325"/>
    <w:rPr>
      <w:sz w:val="16"/>
      <w:szCs w:val="16"/>
    </w:rPr>
  </w:style>
  <w:style w:type="paragraph" w:styleId="CommentText">
    <w:name w:val="annotation text"/>
    <w:basedOn w:val="Normal"/>
    <w:link w:val="CommentTextChar"/>
    <w:uiPriority w:val="99"/>
    <w:semiHidden/>
    <w:unhideWhenUsed/>
    <w:rsid w:val="007D3325"/>
    <w:rPr>
      <w:sz w:val="20"/>
      <w:szCs w:val="20"/>
    </w:rPr>
  </w:style>
  <w:style w:type="character" w:customStyle="1" w:styleId="CommentTextChar">
    <w:name w:val="Comment Text Char"/>
    <w:basedOn w:val="DefaultParagraphFont"/>
    <w:link w:val="CommentText"/>
    <w:uiPriority w:val="99"/>
    <w:semiHidden/>
    <w:rsid w:val="007D3325"/>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D3325"/>
    <w:rPr>
      <w:b/>
      <w:bCs/>
    </w:rPr>
  </w:style>
  <w:style w:type="character" w:customStyle="1" w:styleId="CommentSubjectChar">
    <w:name w:val="Comment Subject Char"/>
    <w:basedOn w:val="CommentTextChar"/>
    <w:link w:val="CommentSubject"/>
    <w:uiPriority w:val="99"/>
    <w:semiHidden/>
    <w:rsid w:val="007D3325"/>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7D3325"/>
    <w:rPr>
      <w:rFonts w:ascii="Tahoma" w:hAnsi="Tahoma" w:cs="Tahoma"/>
      <w:sz w:val="16"/>
      <w:szCs w:val="16"/>
    </w:rPr>
  </w:style>
  <w:style w:type="character" w:customStyle="1" w:styleId="BalloonTextChar">
    <w:name w:val="Balloon Text Char"/>
    <w:basedOn w:val="DefaultParagraphFont"/>
    <w:link w:val="BalloonText"/>
    <w:uiPriority w:val="99"/>
    <w:semiHidden/>
    <w:rsid w:val="007D3325"/>
    <w:rPr>
      <w:rFonts w:ascii="Tahoma" w:eastAsia="Times New Roman" w:hAnsi="Tahoma" w:cs="Tahoma"/>
      <w:sz w:val="16"/>
      <w:szCs w:val="16"/>
      <w:lang w:val="en-AU"/>
    </w:rPr>
  </w:style>
  <w:style w:type="table" w:styleId="TableGrid">
    <w:name w:val="Table Grid"/>
    <w:basedOn w:val="TableNormal"/>
    <w:uiPriority w:val="59"/>
    <w:rsid w:val="0050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4C54"/>
    <w:rPr>
      <w:color w:val="800080" w:themeColor="followedHyperlink"/>
      <w:u w:val="single"/>
    </w:rPr>
  </w:style>
  <w:style w:type="paragraph" w:customStyle="1" w:styleId="text">
    <w:name w:val="text"/>
    <w:basedOn w:val="Normal"/>
    <w:rsid w:val="0053214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7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nt.org/isajewebsite/conflict2.htm" TargetMode="External"/><Relationship Id="rId3" Type="http://schemas.openxmlformats.org/officeDocument/2006/relationships/styles" Target="styles.xml"/><Relationship Id="rId7" Type="http://schemas.openxmlformats.org/officeDocument/2006/relationships/hyperlink" Target="http://www.bmj.com/content/317/7154/291.ful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int.org/isajewebsite/conflict4.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int.org/isajewebsite/conflict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A50D-CC0C-4F5E-8AA6-7A2A81D8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1107</Words>
  <Characters>6313</Characters>
  <Application>Microsoft Office Word</Application>
  <DocSecurity>0</DocSecurity>
  <Lines>52</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Connecticut Health Center</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krobai</dc:creator>
  <cp:lastModifiedBy>Jarvis, Molly</cp:lastModifiedBy>
  <cp:revision>5</cp:revision>
  <cp:lastPrinted>2012-04-25T18:25:00Z</cp:lastPrinted>
  <dcterms:created xsi:type="dcterms:W3CDTF">2012-07-02T13:50:00Z</dcterms:created>
  <dcterms:modified xsi:type="dcterms:W3CDTF">2017-06-08T15:59:00Z</dcterms:modified>
</cp:coreProperties>
</file>